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B28F37" w14:textId="77777777" w:rsidR="000B6339" w:rsidRPr="000B6339" w:rsidRDefault="000B6339" w:rsidP="000B6339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color w:val="2F5496"/>
          <w:sz w:val="32"/>
          <w:szCs w:val="28"/>
          <w:lang w:val="en-US"/>
        </w:rPr>
      </w:pPr>
      <w:bookmarkStart w:id="0" w:name="_GoBack"/>
      <w:bookmarkEnd w:id="0"/>
      <w:r w:rsidRPr="000B6339">
        <w:rPr>
          <w:rFonts w:ascii="Times New Roman" w:eastAsia="Calibri" w:hAnsi="Times New Roman" w:cs="Times New Roman"/>
          <w:b/>
          <w:bCs/>
          <w:color w:val="2F5496"/>
          <w:sz w:val="32"/>
          <w:szCs w:val="28"/>
          <w:lang w:val="en-US"/>
        </w:rPr>
        <w:t>ABSTRACT</w:t>
      </w:r>
    </w:p>
    <w:p w14:paraId="522D32E8" w14:textId="77777777" w:rsidR="000B6339" w:rsidRPr="000B6339" w:rsidRDefault="000B6339" w:rsidP="000B6339">
      <w:pPr>
        <w:spacing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r w:rsidRPr="000B633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In this doctoral thesis, we studied two compounds that structurally activate the 20S proteasome, likely through direct stereochemical interactions. These compounds demonstrated anti-aging properties and reduced protein aggregation in cellular and organismal aging models. In the first part of the thesis, we identified for the first time a natural compound isolated from the brown alga </w:t>
      </w:r>
      <w:proofErr w:type="spellStart"/>
      <w:r w:rsidRPr="000B6339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val="en-US"/>
        </w:rPr>
        <w:t>Dictyota</w:t>
      </w:r>
      <w:proofErr w:type="spellEnd"/>
      <w:r w:rsidRPr="000B6339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0B6339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val="en-US"/>
        </w:rPr>
        <w:t>mediterranea</w:t>
      </w:r>
      <w:proofErr w:type="spellEnd"/>
      <w:r w:rsidRPr="000B633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as a structural proteasome activator, named (1R,3E,6R,7Z,11S,12S)-dolabella-3,7,18-trien-6,17-olide (DBTO). DBTO activates the 20S proteasome both </w:t>
      </w:r>
      <w:r w:rsidRPr="000B6339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val="en-US"/>
        </w:rPr>
        <w:t>in vitro</w:t>
      </w:r>
      <w:r w:rsidRPr="000B633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(in the absence of cell lysates) and </w:t>
      </w:r>
      <w:r w:rsidRPr="000B6339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val="en-US"/>
        </w:rPr>
        <w:t>in cellulo</w:t>
      </w:r>
      <w:r w:rsidRPr="000B633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. Continuous administration of DBTO to young, human primary fibroblasts (HFL-1) throughout their replicative lifespan improves cellular healthspan. Similarly, DBTO administration improves the health status of wild-type </w:t>
      </w:r>
      <w:r w:rsidRPr="000B6339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val="en-US"/>
        </w:rPr>
        <w:t>Caenorhabditis elegans</w:t>
      </w:r>
      <w:r w:rsidRPr="000B633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nematodes. Furthermore, DBTO administration in transgenic Alzheimer’s disease models of </w:t>
      </w:r>
      <w:r w:rsidRPr="000B6339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val="en-US"/>
        </w:rPr>
        <w:t>C. elegans</w:t>
      </w:r>
      <w:r w:rsidRPr="000B633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and human neuroblastoma cells (SH-SY5Y) exposed to A</w:t>
      </w:r>
      <w:r w:rsidRPr="000B6339">
        <w:rPr>
          <w:rFonts w:ascii="Times New Roman" w:eastAsia="Calibri" w:hAnsi="Times New Roman" w:cs="Times New Roman"/>
          <w:color w:val="000000"/>
          <w:sz w:val="24"/>
          <w:szCs w:val="24"/>
        </w:rPr>
        <w:t>β</w:t>
      </w:r>
      <w:r w:rsidRPr="000B633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peptide enhances protection against A</w:t>
      </w:r>
      <w:r w:rsidRPr="000B6339">
        <w:rPr>
          <w:rFonts w:ascii="Times New Roman" w:eastAsia="Calibri" w:hAnsi="Times New Roman" w:cs="Times New Roman"/>
          <w:color w:val="000000"/>
          <w:sz w:val="24"/>
          <w:szCs w:val="24"/>
        </w:rPr>
        <w:t>β</w:t>
      </w:r>
      <w:r w:rsidRPr="000B633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-induced proteotoxicity.</w:t>
      </w:r>
    </w:p>
    <w:p w14:paraId="2B06C6EC" w14:textId="77777777" w:rsidR="000B6339" w:rsidRPr="000B6339" w:rsidRDefault="000B6339" w:rsidP="000B6339">
      <w:pPr>
        <w:spacing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r w:rsidRPr="000B633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In the second part of the thesis, the hybrid compound MK151, combining the structural features of </w:t>
      </w:r>
      <w:proofErr w:type="spellStart"/>
      <w:r w:rsidRPr="000B633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hydroxytyrosol</w:t>
      </w:r>
      <w:proofErr w:type="spellEnd"/>
      <w:r w:rsidRPr="000B633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and </w:t>
      </w:r>
      <w:proofErr w:type="spellStart"/>
      <w:r w:rsidRPr="000B633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chroman</w:t>
      </w:r>
      <w:proofErr w:type="spellEnd"/>
      <w:r w:rsidRPr="000B633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(the pharmacophore of vitamin E) in one scaffold, was identified as a structural 20S proteasome activator </w:t>
      </w:r>
      <w:r w:rsidRPr="000B6339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val="en-US"/>
        </w:rPr>
        <w:t>in vitro</w:t>
      </w:r>
      <w:r w:rsidRPr="000B633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(in the absence of cell lysates), </w:t>
      </w:r>
      <w:r w:rsidRPr="000B6339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val="en-US"/>
        </w:rPr>
        <w:t>in cellulo,</w:t>
      </w:r>
      <w:r w:rsidRPr="000B633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and </w:t>
      </w:r>
      <w:r w:rsidRPr="000B6339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val="en-US"/>
        </w:rPr>
        <w:t>in vivo</w:t>
      </w:r>
      <w:r w:rsidRPr="000B633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following administration in wild-type </w:t>
      </w:r>
      <w:r w:rsidRPr="000B6339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val="en-US"/>
        </w:rPr>
        <w:t>C. elegans</w:t>
      </w:r>
      <w:r w:rsidRPr="000B633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. Continuous MK151 administration to young, human primary fibroblasts (HFL-1) throughout their replicative lifespan extends lifespan and improves cellular healthspan. Likewise, improvement of organismal healthspan is also observed in wild-type </w:t>
      </w:r>
      <w:r w:rsidRPr="000B6339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val="en-US"/>
        </w:rPr>
        <w:t>C. elegans</w:t>
      </w:r>
      <w:r w:rsidRPr="000B633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nematodes treated with MK151. Additionally, MK151 administration in transgenic Alzheimer’s disease models of </w:t>
      </w:r>
      <w:r w:rsidRPr="000B6339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val="en-US"/>
        </w:rPr>
        <w:t>C. elegans</w:t>
      </w:r>
      <w:r w:rsidRPr="000B633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provides enhanced protection against A</w:t>
      </w:r>
      <w:r w:rsidRPr="000B6339">
        <w:rPr>
          <w:rFonts w:ascii="Times New Roman" w:eastAsia="Calibri" w:hAnsi="Times New Roman" w:cs="Times New Roman"/>
          <w:color w:val="000000"/>
          <w:sz w:val="24"/>
          <w:szCs w:val="24"/>
        </w:rPr>
        <w:t>β</w:t>
      </w:r>
      <w:r w:rsidRPr="000B633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-induced proteotoxicity. Moreover, the synthesis of optimized MK151 analogs yielded compounds that structurally activate the 20S proteasome </w:t>
      </w:r>
      <w:r w:rsidRPr="000B6339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val="en-US"/>
        </w:rPr>
        <w:t>in vitro</w:t>
      </w:r>
      <w:r w:rsidRPr="000B633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(in the absence of cell lysates) and exhibit similar or even superior anti-aging and/or neuroprotective effects in </w:t>
      </w:r>
      <w:r w:rsidRPr="000B6339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val="en-US"/>
        </w:rPr>
        <w:t>C. elegans</w:t>
      </w:r>
      <w:r w:rsidRPr="000B633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and human primary fibroblasts (HFL-1). In total, our results reveal two structural proteasome activators: DBTO, a metabolite derived from a Mediterranean marine organism and the bio-inspired synthetic compound MK151, highlighting their potential as agents to improve or preserve healthspan and provide preventive protection against age-related diseases characterized by protein aggregation, such as Alzheimer’s disease.</w:t>
      </w:r>
    </w:p>
    <w:p w14:paraId="555AFA8D" w14:textId="77777777" w:rsidR="0015266B" w:rsidRPr="000B6339" w:rsidRDefault="0015266B">
      <w:pPr>
        <w:rPr>
          <w:lang w:val="en-US"/>
        </w:rPr>
      </w:pPr>
    </w:p>
    <w:sectPr w:rsidR="0015266B" w:rsidRPr="000B63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339"/>
    <w:rsid w:val="000B6339"/>
    <w:rsid w:val="0015266B"/>
    <w:rsid w:val="002F2445"/>
    <w:rsid w:val="005761D1"/>
    <w:rsid w:val="00684E85"/>
    <w:rsid w:val="0079569A"/>
    <w:rsid w:val="007F2BEB"/>
    <w:rsid w:val="008A1991"/>
    <w:rsid w:val="00C71B39"/>
    <w:rsid w:val="00E93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D2FF9"/>
  <w15:chartTrackingRefBased/>
  <w15:docId w15:val="{C93AC71F-32F7-4DC0-AEC9-9D86D6476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0B63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0B63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B633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0B63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0B633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0B63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0B63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0B63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B63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0B633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0B63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0B633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0B6339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0B6339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0B6339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0B6339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0B6339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0B633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0B63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0B63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0B63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0B63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0B63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0B6339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0B6339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0B6339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0B633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Έντονο απόσπασμα Char"/>
    <w:basedOn w:val="a0"/>
    <w:link w:val="a8"/>
    <w:uiPriority w:val="30"/>
    <w:rsid w:val="000B6339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0B633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Vasilopoulou</dc:creator>
  <cp:keywords/>
  <dc:description/>
  <cp:lastModifiedBy>user</cp:lastModifiedBy>
  <cp:revision>2</cp:revision>
  <dcterms:created xsi:type="dcterms:W3CDTF">2025-08-25T05:38:00Z</dcterms:created>
  <dcterms:modified xsi:type="dcterms:W3CDTF">2025-08-25T05:38:00Z</dcterms:modified>
</cp:coreProperties>
</file>