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4D25" w14:textId="77777777" w:rsidR="001E2CC7" w:rsidRPr="001E2CC7" w:rsidRDefault="001E2CC7" w:rsidP="001E2CC7">
      <w:pPr>
        <w:pStyle w:val="Heading1"/>
        <w:jc w:val="center"/>
        <w:rPr>
          <w:rFonts w:ascii="Arial" w:hAnsi="Arial" w:cs="Arial"/>
          <w:b/>
          <w:bCs/>
          <w:color w:val="000000" w:themeColor="text1"/>
          <w:sz w:val="24"/>
          <w:szCs w:val="24"/>
          <w:lang w:val="el-GR"/>
        </w:rPr>
      </w:pPr>
      <w:bookmarkStart w:id="0" w:name="_Toc208690303"/>
      <w:r w:rsidRPr="001E2CC7">
        <w:rPr>
          <w:rFonts w:ascii="Arial" w:hAnsi="Arial" w:cs="Arial"/>
          <w:b/>
          <w:bCs/>
          <w:color w:val="000000" w:themeColor="text1"/>
          <w:sz w:val="24"/>
          <w:szCs w:val="24"/>
          <w:lang w:val="el-GR"/>
        </w:rPr>
        <w:t>ΠΕΡΙΛΗΨΗ</w:t>
      </w:r>
      <w:bookmarkEnd w:id="0"/>
    </w:p>
    <w:p w14:paraId="003D5B70" w14:textId="77777777" w:rsidR="001E2CC7" w:rsidRPr="001E2CC7" w:rsidRDefault="001E2CC7" w:rsidP="001E2CC7">
      <w:pPr>
        <w:spacing w:line="276" w:lineRule="auto"/>
        <w:jc w:val="both"/>
        <w:rPr>
          <w:rFonts w:ascii="Arial" w:hAnsi="Arial" w:cs="Arial"/>
          <w:lang w:val="el-GR"/>
        </w:rPr>
      </w:pPr>
      <w:r w:rsidRPr="001E2CC7">
        <w:rPr>
          <w:rFonts w:ascii="Arial" w:hAnsi="Arial" w:cs="Arial"/>
          <w:lang w:val="el-GR"/>
        </w:rPr>
        <w:t>Η σύγχρονη γεωργία βασίζεται σε μεγάλο βαθμό στην χρήση συνθετικών χημικών φυτοπροστατευτικών ουσιών για την προστασία των καλλιεργειών από τα παράσιτα και τις ασθένειες. Ωστόσο, τα υπολείμματα των φυτοπροστατευτικών ουσιών συχνά εμμένουν στα εδαφικά και υδάτινα οικοσυστήματα, οδηγώντας σε ρύπανση που απειλεί τη βιοποικιλότητα του εδάφους και διαταράσσει βασικές οικοσυστημικές λειτουργίες. Ιδιαίτερη ανησυχία προκαλεί το γεγονός ότι οι συνθετικές φυτοπροστατευτικές ουσίες μπορούν να επηρεάσουν αρνητικά σημαντικές ομάδες μικροοργανισμών του εδάφους, συμπεριλαμβανομένων βασικών λειτουργικών μικροβιακών ομάδων όπως οι νιτρωδοποιητικοί μικροοργανισμοί (ΑΟΜ), που είναι υπεύθυνοί για την νιτροποίηση, το ρυθμο-καθοριστικό βήμα στον κύκλο του αζώτου. Τέτοιες διαταραχές μπορούν να μειώσουν την ανθεκτικότητα του εδάφους και να θέσουν σε κίνδυνο τη υγεία και ομοιόσταση του οικοσυστήματος.</w:t>
      </w:r>
    </w:p>
    <w:p w14:paraId="4CE986BE" w14:textId="77777777" w:rsidR="001E2CC7" w:rsidRPr="001E2CC7" w:rsidRDefault="001E2CC7" w:rsidP="001E2CC7">
      <w:pPr>
        <w:spacing w:line="276" w:lineRule="auto"/>
        <w:jc w:val="both"/>
        <w:rPr>
          <w:rFonts w:ascii="Arial" w:hAnsi="Arial" w:cs="Arial"/>
          <w:lang w:val="el-GR"/>
        </w:rPr>
      </w:pPr>
      <w:r w:rsidRPr="001E2CC7">
        <w:rPr>
          <w:rFonts w:ascii="Arial" w:hAnsi="Arial" w:cs="Arial"/>
          <w:lang w:val="el-GR"/>
        </w:rPr>
        <w:tab/>
        <w:t xml:space="preserve">Οι βιολογικής προέλευσης φυτοπροστατευτικές ουσίες, οι οποίες θεωρούνται περισσότερο φιλικές προς το περιβάλλον λόγω της πιθανολογούμενης χαμηλότερης τοξικότητάς τους, προσελκύουν ολοένα και μεγαλύτερο ενδιαφέρον ως εναλλακτικές λύσεις έναντι των συνθετικών φυτοπροστατευτικών. Η κατηγορία αυτή περιλαμβάνει δευτερογενείς μεταβολίτες των φυτών (π.χ. </w:t>
      </w:r>
      <w:r w:rsidRPr="001E2CC7">
        <w:rPr>
          <w:rFonts w:ascii="Arial" w:hAnsi="Arial" w:cs="Arial"/>
          <w:lang w:val="en-US"/>
        </w:rPr>
        <w:t>dihydrochalcone</w:t>
      </w:r>
      <w:r w:rsidRPr="001E2CC7">
        <w:rPr>
          <w:rFonts w:ascii="Arial" w:hAnsi="Arial" w:cs="Arial"/>
          <w:lang w:val="el-GR"/>
        </w:rPr>
        <w:t xml:space="preserve">, </w:t>
      </w:r>
      <w:r w:rsidRPr="001E2CC7">
        <w:rPr>
          <w:rFonts w:ascii="Arial" w:hAnsi="Arial" w:cs="Arial"/>
          <w:lang w:val="en-US"/>
        </w:rPr>
        <w:t>isoflavone</w:t>
      </w:r>
      <w:r w:rsidRPr="001E2CC7">
        <w:rPr>
          <w:rFonts w:ascii="Arial" w:hAnsi="Arial" w:cs="Arial"/>
          <w:lang w:val="el-GR"/>
        </w:rPr>
        <w:t xml:space="preserve">, </w:t>
      </w:r>
      <w:r w:rsidRPr="001E2CC7">
        <w:rPr>
          <w:rFonts w:ascii="Arial" w:hAnsi="Arial" w:cs="Arial"/>
          <w:lang w:val="en-US"/>
        </w:rPr>
        <w:t>aliphatic</w:t>
      </w:r>
      <w:r w:rsidRPr="001E2CC7">
        <w:rPr>
          <w:rFonts w:ascii="Arial" w:hAnsi="Arial" w:cs="Arial"/>
          <w:lang w:val="el-GR"/>
        </w:rPr>
        <w:t xml:space="preserve"> </w:t>
      </w:r>
      <w:r w:rsidRPr="001E2CC7">
        <w:rPr>
          <w:rFonts w:ascii="Arial" w:hAnsi="Arial" w:cs="Arial"/>
          <w:lang w:val="en-US"/>
        </w:rPr>
        <w:t>phenols</w:t>
      </w:r>
      <w:r w:rsidRPr="001E2CC7">
        <w:rPr>
          <w:rFonts w:ascii="Arial" w:hAnsi="Arial" w:cs="Arial"/>
          <w:lang w:val="el-GR"/>
        </w:rPr>
        <w:t xml:space="preserve">, πυρεθρίνες) και ενώσεις μικροβιακής προέλευσης (π.χ. </w:t>
      </w:r>
      <w:r w:rsidRPr="001E2CC7">
        <w:rPr>
          <w:rFonts w:ascii="Arial" w:hAnsi="Arial" w:cs="Arial"/>
          <w:lang w:val="en-US"/>
        </w:rPr>
        <w:t>spinosyns</w:t>
      </w:r>
      <w:r w:rsidRPr="001E2CC7">
        <w:rPr>
          <w:rFonts w:ascii="Arial" w:hAnsi="Arial" w:cs="Arial"/>
          <w:lang w:val="el-GR"/>
        </w:rPr>
        <w:t>), που αποτελούν το αντικείμενο αυτής της διατριβής. Ωστόσο, δεδομένης της βιολογικής τους προέλευσης και του ρόλου τους στην άμυνα φυτών και μικροοργανισμών, είναι ιδιαίτερα πιθανό να έχουν αντι-μικροβιακές ιδιότητες. Αυτό εγείρει ανησυχίες ότι η χρήση τους μπορεί να έχει επιπτώσεις σε σημαντικές λειτουργικές μικροβιακές ομάδες (π.χ. ΑΟΜ και δενδρόμορφους μυκορριζικούς μύκητες), με παρεπόμενες επιπτώσεις σε βασικές λειτουργίες του οικοσυστήματος όπως ο κύκλος του άνθρακα και του αζώτου.</w:t>
      </w:r>
    </w:p>
    <w:p w14:paraId="35E30390" w14:textId="77777777" w:rsidR="001E2CC7" w:rsidRPr="001E2CC7" w:rsidRDefault="001E2CC7" w:rsidP="001E2CC7">
      <w:pPr>
        <w:spacing w:line="276" w:lineRule="auto"/>
        <w:jc w:val="both"/>
        <w:rPr>
          <w:rFonts w:ascii="Arial" w:hAnsi="Arial" w:cs="Arial"/>
          <w:lang w:val="el-GR"/>
        </w:rPr>
      </w:pPr>
      <w:r w:rsidRPr="001E2CC7">
        <w:rPr>
          <w:rFonts w:ascii="Arial" w:hAnsi="Arial" w:cs="Arial"/>
          <w:lang w:val="el-GR"/>
        </w:rPr>
        <w:tab/>
        <w:t>Αυτές οι ανησυχίες είναι ιδιαίτερα σημαντικές, καθώς σήμερα η αξιολόγηση της επικινδυνότητας (</w:t>
      </w:r>
      <w:r w:rsidRPr="001E2CC7">
        <w:rPr>
          <w:rFonts w:ascii="Arial" w:hAnsi="Arial" w:cs="Arial"/>
        </w:rPr>
        <w:t>ERA</w:t>
      </w:r>
      <w:r w:rsidRPr="001E2CC7">
        <w:rPr>
          <w:rFonts w:ascii="Arial" w:hAnsi="Arial" w:cs="Arial"/>
          <w:lang w:val="el-GR"/>
        </w:rPr>
        <w:t>) των φυτοπροστατευτικών ενώσεων για τους μικροοργανισμούς του εδάφους βασίζεται σε μεγάλο βαθμό σε μια παρωχημένη δοκιμή (</w:t>
      </w:r>
      <w:r w:rsidRPr="001E2CC7">
        <w:rPr>
          <w:rFonts w:ascii="Arial" w:hAnsi="Arial" w:cs="Arial"/>
        </w:rPr>
        <w:t>OECD</w:t>
      </w:r>
      <w:r w:rsidRPr="001E2CC7">
        <w:rPr>
          <w:rFonts w:ascii="Arial" w:hAnsi="Arial" w:cs="Arial"/>
          <w:lang w:val="el-GR"/>
        </w:rPr>
        <w:t xml:space="preserve"> 216), η οποία συχνά αποτυγχάνει να ανιχνεύσει μικρές αλλά σημαντικές μικροβιακές αποκρίσεις. Η αντιμετώπιση του παραπάνω προβλήματα απαιτεί την χρήση στην </w:t>
      </w:r>
      <w:r w:rsidRPr="001E2CC7">
        <w:rPr>
          <w:rFonts w:ascii="Arial" w:hAnsi="Arial" w:cs="Arial"/>
          <w:lang w:val="en-US"/>
        </w:rPr>
        <w:t>ERA</w:t>
      </w:r>
      <w:r w:rsidRPr="001E2CC7">
        <w:rPr>
          <w:rFonts w:ascii="Arial" w:hAnsi="Arial" w:cs="Arial"/>
          <w:lang w:val="el-GR"/>
        </w:rPr>
        <w:t xml:space="preserve"> σύγχρονων μοριακών προσεγγίσεων όπως η </w:t>
      </w:r>
      <w:r w:rsidRPr="001E2CC7">
        <w:rPr>
          <w:rFonts w:ascii="Arial" w:hAnsi="Arial" w:cs="Arial"/>
        </w:rPr>
        <w:t>qPCR</w:t>
      </w:r>
      <w:r w:rsidRPr="001E2CC7">
        <w:rPr>
          <w:rFonts w:ascii="Arial" w:hAnsi="Arial" w:cs="Arial"/>
          <w:lang w:val="el-GR"/>
        </w:rPr>
        <w:t xml:space="preserve"> και η μεταταξινομική ανάλυση. Οι παραπάνω μέθοδοι μπορούν να προσφέρουν δεδομένα υψηλής ανάλυσης σχετικά με την αφθονία, τη λειτουργία και τη σύνθεση των μικροβιακών κοινοτήτων. Η ενσωμάτωση αυτών των μοριακών προσεγγίσεων στην διαδικασία της </w:t>
      </w:r>
      <w:r w:rsidRPr="001E2CC7">
        <w:rPr>
          <w:rFonts w:ascii="Arial" w:hAnsi="Arial" w:cs="Arial"/>
        </w:rPr>
        <w:t>ERA</w:t>
      </w:r>
      <w:r w:rsidRPr="001E2CC7">
        <w:rPr>
          <w:rFonts w:ascii="Arial" w:hAnsi="Arial" w:cs="Arial"/>
          <w:lang w:val="el-GR"/>
        </w:rPr>
        <w:t>, σε συνδυασμό με την χρήση προηγμένων εργαλείων βιοπληροφορικής και βιοστατιστικής όπως οι καμπύλες κατανομές ειδών (</w:t>
      </w:r>
      <w:r w:rsidRPr="001E2CC7">
        <w:rPr>
          <w:rFonts w:ascii="Arial" w:hAnsi="Arial" w:cs="Arial"/>
          <w:lang w:val="en-US"/>
        </w:rPr>
        <w:t>SSDs</w:t>
      </w:r>
      <w:r w:rsidRPr="001E2CC7">
        <w:rPr>
          <w:rFonts w:ascii="Arial" w:hAnsi="Arial" w:cs="Arial"/>
          <w:lang w:val="el-GR"/>
        </w:rPr>
        <w:t xml:space="preserve">), προσφέρουν μια ευκαιρία για τον εκσυγχρονισμό της διαδικασίας αξιολόγησης της τοξικότητας των φυτοπροστατευτικών ουσιών έναντι των μικροοργανισμών του εδάφους. Η συγκεκριμένη προσέγγιση μπορεί να οδηγήσει στην  διαμόρφωση ποσοτικών δεδομένων εκτίμησης της μικροβιακής τοξικότητας, οδηγώντας σε πιο </w:t>
      </w:r>
      <w:r w:rsidRPr="001E2CC7">
        <w:rPr>
          <w:rFonts w:ascii="Arial" w:hAnsi="Arial" w:cs="Arial"/>
          <w:lang w:val="el-GR"/>
        </w:rPr>
        <w:lastRenderedPageBreak/>
        <w:t>ολοκληρωμένη και ακριβή αξιολόγηση των πιθανών αρνητικών επιπτώσεων τόσο των βιολογικών όσο και των συνθετικών φυτοπροστατευτικών ενώσεων έναντι των μικροοργανισμών του εδάφους. Λαμβάνοντας αυτά υπόψη, θέσαμε ως κύριους στόχους της διδακτορικής διατριβής: (</w:t>
      </w:r>
      <w:r w:rsidRPr="001E2CC7">
        <w:rPr>
          <w:rFonts w:ascii="Arial" w:hAnsi="Arial" w:cs="Arial"/>
        </w:rPr>
        <w:t>i</w:t>
      </w:r>
      <w:r w:rsidRPr="001E2CC7">
        <w:rPr>
          <w:rFonts w:ascii="Arial" w:hAnsi="Arial" w:cs="Arial"/>
          <w:lang w:val="el-GR"/>
        </w:rPr>
        <w:t>) να αξιολογήσουμε συγκριτικά την τοξικότητα των βιολογικών και των συνθετικών φυτοπροστατευτικών ουσιών στη μικροβιακή κοινότητα του εδάφους· (</w:t>
      </w:r>
      <w:r w:rsidRPr="001E2CC7">
        <w:rPr>
          <w:rFonts w:ascii="Arial" w:hAnsi="Arial" w:cs="Arial"/>
        </w:rPr>
        <w:t>ii</w:t>
      </w:r>
      <w:r w:rsidRPr="001E2CC7">
        <w:rPr>
          <w:rFonts w:ascii="Arial" w:hAnsi="Arial" w:cs="Arial"/>
          <w:lang w:val="el-GR"/>
        </w:rPr>
        <w:t xml:space="preserve">) να διερευνύσουμε εάν μοριακές μέθοδοι υψηλής ευκρίνειας όπως η </w:t>
      </w:r>
      <w:r w:rsidRPr="001E2CC7">
        <w:rPr>
          <w:rFonts w:ascii="Arial" w:hAnsi="Arial" w:cs="Arial"/>
        </w:rPr>
        <w:t>qPCR</w:t>
      </w:r>
      <w:r w:rsidRPr="001E2CC7">
        <w:rPr>
          <w:rFonts w:ascii="Arial" w:hAnsi="Arial" w:cs="Arial"/>
          <w:lang w:val="el-GR"/>
        </w:rPr>
        <w:t xml:space="preserve"> μπορούν να αναδείξουν πιθανές αρνητικές επιδράσεις στις μικροβιακές κοινότητες του εδάφους που ενδέχεται να μην εντοπίζονται από τη δοκιμή </w:t>
      </w:r>
      <w:r w:rsidRPr="001E2CC7">
        <w:rPr>
          <w:rFonts w:ascii="Arial" w:hAnsi="Arial" w:cs="Arial"/>
        </w:rPr>
        <w:t>OECD</w:t>
      </w:r>
      <w:r w:rsidRPr="001E2CC7">
        <w:rPr>
          <w:rFonts w:ascii="Arial" w:hAnsi="Arial" w:cs="Arial"/>
          <w:lang w:val="el-GR"/>
        </w:rPr>
        <w:t xml:space="preserve"> 216· (</w:t>
      </w:r>
      <w:r w:rsidRPr="001E2CC7">
        <w:rPr>
          <w:rFonts w:ascii="Arial" w:hAnsi="Arial" w:cs="Arial"/>
        </w:rPr>
        <w:t>iii</w:t>
      </w:r>
      <w:r w:rsidRPr="001E2CC7">
        <w:rPr>
          <w:rFonts w:ascii="Arial" w:hAnsi="Arial" w:cs="Arial"/>
          <w:lang w:val="el-GR"/>
        </w:rPr>
        <w:t>) να αναλύσουμε τις ευρύτερες επιπτώσεις των βιολογικών φυτοπροστατευτικών ουσιών στη μικροβιακή ποικιλότητα  του εδάφους μέσω της χρήσης μεταταξινομικών προσεγγίσεων· και τέλος (</w:t>
      </w:r>
      <w:r w:rsidRPr="001E2CC7">
        <w:rPr>
          <w:rFonts w:ascii="Arial" w:hAnsi="Arial" w:cs="Arial"/>
        </w:rPr>
        <w:t>iv</w:t>
      </w:r>
      <w:r w:rsidRPr="001E2CC7">
        <w:rPr>
          <w:rFonts w:ascii="Arial" w:hAnsi="Arial" w:cs="Arial"/>
          <w:lang w:val="el-GR"/>
        </w:rPr>
        <w:t xml:space="preserve">) να αξιολογήσουμε τη δυνατότητα χρήσης των </w:t>
      </w:r>
      <w:r w:rsidRPr="001E2CC7">
        <w:rPr>
          <w:rFonts w:ascii="Arial" w:hAnsi="Arial" w:cs="Arial"/>
          <w:lang w:val="en-US"/>
        </w:rPr>
        <w:t>SSDs</w:t>
      </w:r>
      <w:r w:rsidRPr="001E2CC7">
        <w:rPr>
          <w:rFonts w:ascii="Arial" w:hAnsi="Arial" w:cs="Arial"/>
          <w:lang w:val="el-GR"/>
        </w:rPr>
        <w:t xml:space="preserve"> στην αξιολόγηση της επικινδυνότητας των φυτοπροστατευτικών ενώσεων ως προς του μικροοργανισμούς του εδάφους.</w:t>
      </w:r>
    </w:p>
    <w:p w14:paraId="610C79B0" w14:textId="77777777" w:rsidR="001E2CC7" w:rsidRPr="001E2CC7" w:rsidRDefault="001E2CC7" w:rsidP="001E2CC7">
      <w:pPr>
        <w:spacing w:line="276" w:lineRule="auto"/>
        <w:jc w:val="both"/>
        <w:rPr>
          <w:rFonts w:ascii="Arial" w:hAnsi="Arial" w:cs="Arial"/>
          <w:lang w:val="el-GR"/>
        </w:rPr>
      </w:pPr>
      <w:r w:rsidRPr="001E2CC7">
        <w:rPr>
          <w:rFonts w:ascii="Arial" w:hAnsi="Arial" w:cs="Arial"/>
          <w:lang w:val="el-GR"/>
        </w:rPr>
        <w:tab/>
        <w:t xml:space="preserve">Στο Κεφάλαιο 2, χρησιμοποιήσαμε τη δοκιμή </w:t>
      </w:r>
      <w:r w:rsidRPr="001E2CC7">
        <w:rPr>
          <w:rFonts w:ascii="Arial" w:hAnsi="Arial" w:cs="Arial"/>
          <w:lang w:val="en-US"/>
        </w:rPr>
        <w:t>OECD</w:t>
      </w:r>
      <w:r w:rsidRPr="001E2CC7">
        <w:rPr>
          <w:rFonts w:ascii="Arial" w:hAnsi="Arial" w:cs="Arial"/>
          <w:lang w:val="el-GR"/>
        </w:rPr>
        <w:t xml:space="preserve"> 216 για να αξιολογήσουμε τις πιθανές αρνητικές επιδράσεις επιλεγμένων φυσικών προϊόντων (</w:t>
      </w:r>
      <w:r w:rsidRPr="001E2CC7">
        <w:rPr>
          <w:rFonts w:ascii="Arial" w:hAnsi="Arial" w:cs="Arial"/>
          <w:lang w:val="en-US"/>
        </w:rPr>
        <w:t>dihydrochalcone</w:t>
      </w:r>
      <w:r w:rsidRPr="001E2CC7">
        <w:rPr>
          <w:rFonts w:ascii="Arial" w:hAnsi="Arial" w:cs="Arial"/>
          <w:lang w:val="el-GR"/>
        </w:rPr>
        <w:t xml:space="preserve">, </w:t>
      </w:r>
      <w:r w:rsidRPr="001E2CC7">
        <w:rPr>
          <w:rFonts w:ascii="Arial" w:hAnsi="Arial" w:cs="Arial"/>
          <w:lang w:val="en-US"/>
        </w:rPr>
        <w:t>isoflavone</w:t>
      </w:r>
      <w:r w:rsidRPr="001E2CC7">
        <w:rPr>
          <w:rFonts w:ascii="Arial" w:hAnsi="Arial" w:cs="Arial"/>
          <w:lang w:val="el-GR"/>
        </w:rPr>
        <w:t xml:space="preserve">, </w:t>
      </w:r>
      <w:r w:rsidRPr="001E2CC7">
        <w:rPr>
          <w:rFonts w:ascii="Arial" w:hAnsi="Arial" w:cs="Arial"/>
          <w:lang w:val="en-US"/>
        </w:rPr>
        <w:t>aliphatic</w:t>
      </w:r>
      <w:r w:rsidRPr="001E2CC7">
        <w:rPr>
          <w:rFonts w:ascii="Arial" w:hAnsi="Arial" w:cs="Arial"/>
          <w:lang w:val="el-GR"/>
        </w:rPr>
        <w:t xml:space="preserve"> </w:t>
      </w:r>
      <w:r w:rsidRPr="001E2CC7">
        <w:rPr>
          <w:rFonts w:ascii="Arial" w:hAnsi="Arial" w:cs="Arial"/>
          <w:lang w:val="en-US"/>
        </w:rPr>
        <w:t>phenol</w:t>
      </w:r>
      <w:r w:rsidRPr="001E2CC7">
        <w:rPr>
          <w:rFonts w:ascii="Arial" w:hAnsi="Arial" w:cs="Arial"/>
          <w:lang w:val="el-GR"/>
        </w:rPr>
        <w:t xml:space="preserve">, </w:t>
      </w:r>
      <w:r w:rsidRPr="001E2CC7">
        <w:rPr>
          <w:rFonts w:ascii="Arial" w:hAnsi="Arial" w:cs="Arial"/>
          <w:lang w:val="en-US"/>
        </w:rPr>
        <w:t>Spinosad</w:t>
      </w:r>
      <w:r w:rsidRPr="001E2CC7">
        <w:rPr>
          <w:rFonts w:ascii="Arial" w:hAnsi="Arial" w:cs="Arial"/>
          <w:lang w:val="el-GR"/>
        </w:rPr>
        <w:t>) καθώς και ενός συνθετικού φυτοπροστατευτικού προϊόντος (3,5-</w:t>
      </w:r>
      <w:r w:rsidRPr="001E2CC7">
        <w:rPr>
          <w:rFonts w:ascii="Arial" w:hAnsi="Arial" w:cs="Arial"/>
          <w:lang w:val="en-US"/>
        </w:rPr>
        <w:t>dichloroaniline</w:t>
      </w:r>
      <w:r w:rsidRPr="001E2CC7">
        <w:rPr>
          <w:rFonts w:ascii="Arial" w:hAnsi="Arial" w:cs="Arial"/>
          <w:lang w:val="el-GR"/>
        </w:rPr>
        <w:t xml:space="preserve">, προϊόν μετασχηματισμού του μυκητοκτόνου </w:t>
      </w:r>
      <w:r w:rsidRPr="001E2CC7">
        <w:rPr>
          <w:rFonts w:ascii="Arial" w:hAnsi="Arial" w:cs="Arial"/>
          <w:lang w:val="en-US"/>
        </w:rPr>
        <w:t>iprodione</w:t>
      </w:r>
      <w:r w:rsidRPr="001E2CC7">
        <w:rPr>
          <w:rFonts w:ascii="Arial" w:hAnsi="Arial" w:cs="Arial"/>
          <w:lang w:val="el-GR"/>
        </w:rPr>
        <w:t>) στη μικροβιακή κοινότητα του εδάφους. Οι ενώσεις αξιολογήθηκαν για τις επιπτώσεις τους  τόσο στη συνιστώμενη δόση (1</w:t>
      </w:r>
      <w:r w:rsidRPr="001E2CC7">
        <w:rPr>
          <w:rFonts w:ascii="Arial" w:hAnsi="Arial" w:cs="Arial"/>
          <w:lang w:val="en-US"/>
        </w:rPr>
        <w:t>x</w:t>
      </w:r>
      <w:r w:rsidRPr="001E2CC7">
        <w:rPr>
          <w:rFonts w:ascii="Arial" w:hAnsi="Arial" w:cs="Arial"/>
          <w:lang w:val="el-GR"/>
        </w:rPr>
        <w:t>) όσο και σε δέκα φορές τη συνιστώμενη δόση (10</w:t>
      </w:r>
      <w:r w:rsidRPr="001E2CC7">
        <w:rPr>
          <w:rFonts w:ascii="Arial" w:hAnsi="Arial" w:cs="Arial"/>
          <w:lang w:val="en-US"/>
        </w:rPr>
        <w:t>x</w:t>
      </w:r>
      <w:r w:rsidRPr="001E2CC7">
        <w:rPr>
          <w:rFonts w:ascii="Arial" w:hAnsi="Arial" w:cs="Arial"/>
          <w:lang w:val="el-GR"/>
        </w:rPr>
        <w:t xml:space="preserve">). Πραγματοποιήθηκε συγκριτική αξιολόγηση των επιπτώσεων των φυτοπροστατευτικών ενώσεων με τη χρήση ενός προηγμένου, πιστοποιημένου κατά </w:t>
      </w:r>
      <w:r w:rsidRPr="001E2CC7">
        <w:rPr>
          <w:rFonts w:ascii="Arial" w:hAnsi="Arial" w:cs="Arial"/>
          <w:lang w:val="en-US"/>
        </w:rPr>
        <w:t>ISO</w:t>
      </w:r>
      <w:r w:rsidRPr="001E2CC7">
        <w:rPr>
          <w:rFonts w:ascii="Arial" w:hAnsi="Arial" w:cs="Arial"/>
          <w:lang w:val="el-GR"/>
        </w:rPr>
        <w:t xml:space="preserve"> μοριακού εργαλείου (</w:t>
      </w:r>
      <w:r w:rsidRPr="001E2CC7">
        <w:rPr>
          <w:rFonts w:ascii="Arial" w:hAnsi="Arial" w:cs="Arial"/>
          <w:lang w:val="en-US"/>
        </w:rPr>
        <w:t>q</w:t>
      </w:r>
      <w:r w:rsidRPr="001E2CC7">
        <w:rPr>
          <w:rFonts w:ascii="Arial" w:hAnsi="Arial" w:cs="Arial"/>
          <w:lang w:val="el-GR"/>
        </w:rPr>
        <w:t>-</w:t>
      </w:r>
      <w:r w:rsidRPr="001E2CC7">
        <w:rPr>
          <w:rFonts w:ascii="Arial" w:hAnsi="Arial" w:cs="Arial"/>
          <w:lang w:val="en-US"/>
        </w:rPr>
        <w:t>PCR</w:t>
      </w:r>
      <w:r w:rsidRPr="001E2CC7">
        <w:rPr>
          <w:rFonts w:ascii="Arial" w:hAnsi="Arial" w:cs="Arial"/>
          <w:lang w:val="el-GR"/>
        </w:rPr>
        <w:t>) για τον προσδιορισμό της αφθονίας φυλογενετικά και λειτουργικά διακριτών μικροβιακών ομάδων όπως βακτήρια, μύκητες αλλά και ΑΟΜ.</w:t>
      </w:r>
      <w:r w:rsidRPr="001E2CC7">
        <w:rPr>
          <w:rFonts w:ascii="Arial" w:hAnsi="Arial" w:cs="Arial"/>
          <w:lang w:val="el-GR" w:eastAsia="ja-JP"/>
        </w:rPr>
        <w:t xml:space="preserve"> </w:t>
      </w:r>
      <w:r w:rsidRPr="001E2CC7">
        <w:rPr>
          <w:rFonts w:ascii="Arial" w:hAnsi="Arial" w:cs="Arial"/>
          <w:lang w:val="el-GR"/>
        </w:rPr>
        <w:t xml:space="preserve">Όλα τα φυτοφάρμακα εμφάνισαν περιορισμένη υπολειμματικότητα στο έδαφος, με μέσες τιμές </w:t>
      </w:r>
      <w:r w:rsidRPr="001E2CC7">
        <w:rPr>
          <w:rFonts w:ascii="Arial" w:hAnsi="Arial" w:cs="Arial"/>
          <w:lang w:val="en-US"/>
        </w:rPr>
        <w:t>DT</w:t>
      </w:r>
      <w:r w:rsidRPr="001E2CC7">
        <w:rPr>
          <w:rFonts w:ascii="Arial" w:hAnsi="Arial" w:cs="Arial"/>
          <w:vertAlign w:val="subscript"/>
          <w:lang w:val="el-GR"/>
        </w:rPr>
        <w:t>50</w:t>
      </w:r>
      <w:r w:rsidRPr="001E2CC7">
        <w:rPr>
          <w:rFonts w:ascii="Arial" w:hAnsi="Arial" w:cs="Arial"/>
          <w:lang w:val="el-GR"/>
        </w:rPr>
        <w:t xml:space="preserve"> που κυμαίνονταν από 0,93 έως 27,23 ημέρες σε όλους τους τύπους εδαφών και επίπεδα δόσης. Σύμφωνα με την δοκιμή </w:t>
      </w:r>
      <w:r w:rsidRPr="001E2CC7">
        <w:rPr>
          <w:rFonts w:ascii="Arial" w:hAnsi="Arial" w:cs="Arial"/>
          <w:lang w:val="en-US"/>
        </w:rPr>
        <w:t>OECD</w:t>
      </w:r>
      <w:r w:rsidRPr="001E2CC7">
        <w:rPr>
          <w:rFonts w:ascii="Arial" w:hAnsi="Arial" w:cs="Arial"/>
          <w:lang w:val="el-GR"/>
        </w:rPr>
        <w:t xml:space="preserve"> 216, καμία από τις ουσίες που αξιολογήθηκαν δεν προκάλεσε μεταβολές στις συγκεντρώσεις </w:t>
      </w:r>
      <w:r w:rsidRPr="001E2CC7">
        <w:rPr>
          <w:rFonts w:ascii="Arial" w:hAnsi="Arial" w:cs="Arial"/>
          <w:lang w:val="en-US"/>
        </w:rPr>
        <w:t>NO</w:t>
      </w:r>
      <w:r w:rsidRPr="001E2CC7">
        <w:rPr>
          <w:rFonts w:ascii="Cambria Math" w:eastAsia="MS Gothic" w:hAnsi="Cambria Math" w:cs="Cambria Math"/>
          <w:lang w:val="el-GR"/>
        </w:rPr>
        <w:t>₃⁻</w:t>
      </w:r>
      <w:r w:rsidRPr="001E2CC7">
        <w:rPr>
          <w:rFonts w:ascii="Arial" w:hAnsi="Arial" w:cs="Arial"/>
          <w:lang w:val="el-GR"/>
        </w:rPr>
        <w:t xml:space="preserve"> μεγαλύτερες από 25% σε σχέση με τον μάρτυρα στις 28 ημέρες, υποδεικνύοντας σύμφωνα με το κανονιστικό πλαίσιο της δοκιμής </w:t>
      </w:r>
      <w:r w:rsidRPr="001E2CC7">
        <w:rPr>
          <w:rFonts w:ascii="Arial" w:hAnsi="Arial" w:cs="Arial"/>
          <w:lang w:val="en-US"/>
        </w:rPr>
        <w:t>OECD</w:t>
      </w:r>
      <w:r w:rsidRPr="001E2CC7">
        <w:rPr>
          <w:rFonts w:ascii="Arial" w:hAnsi="Arial" w:cs="Arial"/>
          <w:lang w:val="el-GR"/>
        </w:rPr>
        <w:t xml:space="preserve"> 216 ότι οι συγκεκριμένες φυτοπροστατευτικές ουσίες δεν προκαλούν μη αποδεκτές επιδράσεις στη μικροβιακή κοινότητα του εδάφους.</w:t>
      </w:r>
      <w:r w:rsidRPr="001E2CC7">
        <w:rPr>
          <w:rFonts w:ascii="Arial" w:hAnsi="Arial" w:cs="Arial"/>
          <w:lang w:val="el-GR" w:eastAsia="ja-JP"/>
        </w:rPr>
        <w:t xml:space="preserve"> </w:t>
      </w:r>
      <w:r w:rsidRPr="001E2CC7">
        <w:rPr>
          <w:rFonts w:ascii="Arial" w:hAnsi="Arial" w:cs="Arial"/>
          <w:lang w:val="el-GR"/>
        </w:rPr>
        <w:t xml:space="preserve">Αντιθέτως, χρησιμοποιώντας στο ίδιο πείραμα την μέθοδο </w:t>
      </w:r>
      <w:r w:rsidRPr="001E2CC7">
        <w:rPr>
          <w:rFonts w:ascii="Arial" w:hAnsi="Arial" w:cs="Arial"/>
          <w:lang w:val="en-US"/>
        </w:rPr>
        <w:t>qPCR</w:t>
      </w:r>
      <w:r w:rsidRPr="001E2CC7">
        <w:rPr>
          <w:rFonts w:ascii="Arial" w:hAnsi="Arial" w:cs="Arial"/>
          <w:lang w:val="el-GR"/>
        </w:rPr>
        <w:t xml:space="preserve"> εντοπίσαμε σημαντικές ανασταλτικές επιδράσεις στην αφθονία τόσο των </w:t>
      </w:r>
      <w:r w:rsidRPr="001E2CC7">
        <w:rPr>
          <w:rFonts w:ascii="Arial" w:hAnsi="Arial" w:cs="Arial"/>
          <w:lang w:val="en-US"/>
        </w:rPr>
        <w:t>AOA</w:t>
      </w:r>
      <w:r w:rsidRPr="001E2CC7">
        <w:rPr>
          <w:rFonts w:ascii="Arial" w:hAnsi="Arial" w:cs="Arial"/>
          <w:lang w:val="el-GR"/>
        </w:rPr>
        <w:t xml:space="preserve"> όσο και των </w:t>
      </w:r>
      <w:r w:rsidRPr="001E2CC7">
        <w:rPr>
          <w:rFonts w:ascii="Arial" w:hAnsi="Arial" w:cs="Arial"/>
          <w:lang w:val="en-US"/>
        </w:rPr>
        <w:t>AOB</w:t>
      </w:r>
      <w:r w:rsidRPr="001E2CC7">
        <w:rPr>
          <w:rFonts w:ascii="Arial" w:hAnsi="Arial" w:cs="Arial"/>
          <w:lang w:val="el-GR"/>
        </w:rPr>
        <w:t xml:space="preserve"> στα δείγματα που είχαν δεχτεί εφαρμογή των βιολογικών φυτοπροστατευτικών ουσιών αλλά και του 3,5-</w:t>
      </w:r>
      <w:r w:rsidRPr="001E2CC7">
        <w:rPr>
          <w:rFonts w:ascii="Arial" w:hAnsi="Arial" w:cs="Arial"/>
          <w:lang w:val="en-US"/>
        </w:rPr>
        <w:t>DCA</w:t>
      </w:r>
      <w:r w:rsidRPr="001E2CC7">
        <w:rPr>
          <w:rFonts w:ascii="Arial" w:hAnsi="Arial" w:cs="Arial"/>
          <w:lang w:val="el-GR"/>
        </w:rPr>
        <w:t>.</w:t>
      </w:r>
      <w:r w:rsidRPr="001E2CC7">
        <w:rPr>
          <w:rFonts w:ascii="Arial" w:hAnsi="Arial" w:cs="Arial"/>
          <w:lang w:val="el-GR" w:eastAsia="ja-JP"/>
        </w:rPr>
        <w:t xml:space="preserve"> </w:t>
      </w:r>
      <w:r w:rsidRPr="001E2CC7">
        <w:rPr>
          <w:rFonts w:ascii="Arial" w:hAnsi="Arial" w:cs="Arial"/>
          <w:lang w:val="el-GR"/>
        </w:rPr>
        <w:t xml:space="preserve">Τα παραπάνω ευρήματα αναδεικνύουν την περιορισμένη διακριτική ικανότητα του τρέχοντος κανονιστικού πλαισίου για την αξιολόγηση της τοξικότητας των φυτοπροστατευτικών ενώσεων στους μικροοργανισμούς του εδάφους, καθώς η δοκιμή </w:t>
      </w:r>
      <w:r w:rsidRPr="001E2CC7">
        <w:rPr>
          <w:rFonts w:ascii="Arial" w:hAnsi="Arial" w:cs="Arial"/>
          <w:lang w:val="en-US"/>
        </w:rPr>
        <w:t>OECD</w:t>
      </w:r>
      <w:r w:rsidRPr="001E2CC7">
        <w:rPr>
          <w:rFonts w:ascii="Arial" w:hAnsi="Arial" w:cs="Arial"/>
          <w:lang w:val="el-GR"/>
        </w:rPr>
        <w:t xml:space="preserve"> 216  απέτυχε να ανιχνεύσει σημαντικές επιδράσεις στην μικροβιακή κοινότητα του εδάφους που εντοπίστηκαν με την χρήση προηγμένων μοριακών εργαλείων. Με βάση τα παραπάνω αποτελέσματα προχωρήσαμε σε μια πιο ολοκληρωμένη διερεύνηση των επιδράσεων των βιολογικών φυτοπροστατευτικών ενώσεων σε επίπεδο κοινότητας, χρησιμοποιώντας ομικές τεχνικές στο Κεφάλαιο 3.</w:t>
      </w:r>
    </w:p>
    <w:p w14:paraId="36A52EA1" w14:textId="77777777" w:rsidR="001E2CC7" w:rsidRPr="001E2CC7" w:rsidRDefault="001E2CC7" w:rsidP="001E2CC7">
      <w:pPr>
        <w:spacing w:line="276" w:lineRule="auto"/>
        <w:jc w:val="both"/>
        <w:rPr>
          <w:rFonts w:ascii="Arial" w:hAnsi="Arial" w:cs="Arial"/>
          <w:lang w:val="el-GR"/>
        </w:rPr>
      </w:pPr>
      <w:r w:rsidRPr="001E2CC7">
        <w:rPr>
          <w:rFonts w:ascii="Arial" w:hAnsi="Arial" w:cs="Arial"/>
          <w:lang w:val="el-GR"/>
        </w:rPr>
        <w:lastRenderedPageBreak/>
        <w:tab/>
        <w:t>Στο Κεφάλαιο 3, η έρευνα μας επεκτάθηκε στην διερεύνηση των ευρύτερων οικολογικών επιπτώσεων των φυτοπροστατευτικών ενώσεων στις μικροβιακές κοινότητες του εδάφους. Για να το καταφέρουμε αυτό χρησιμοποιήσαμε εργαλεία μεταταξινομικής , και μελετήθηκαν οι επιδράσεις πέντε βιολογικών φυτοπροστατευτικών ουσιών (</w:t>
      </w:r>
      <w:r w:rsidRPr="001E2CC7">
        <w:rPr>
          <w:rFonts w:ascii="Arial" w:hAnsi="Arial" w:cs="Arial"/>
          <w:lang w:val="en-US"/>
        </w:rPr>
        <w:t>dihydrochalcone</w:t>
      </w:r>
      <w:r w:rsidRPr="001E2CC7">
        <w:rPr>
          <w:rFonts w:ascii="Arial" w:hAnsi="Arial" w:cs="Arial"/>
          <w:lang w:val="el-GR"/>
        </w:rPr>
        <w:t xml:space="preserve">, </w:t>
      </w:r>
      <w:r w:rsidRPr="001E2CC7">
        <w:rPr>
          <w:rFonts w:ascii="Arial" w:hAnsi="Arial" w:cs="Arial"/>
          <w:lang w:val="en-US"/>
        </w:rPr>
        <w:t>isoflavone</w:t>
      </w:r>
      <w:r w:rsidRPr="001E2CC7">
        <w:rPr>
          <w:rFonts w:ascii="Arial" w:hAnsi="Arial" w:cs="Arial"/>
          <w:lang w:val="el-GR"/>
        </w:rPr>
        <w:t xml:space="preserve">, </w:t>
      </w:r>
      <w:r w:rsidRPr="001E2CC7">
        <w:rPr>
          <w:rFonts w:ascii="Arial" w:hAnsi="Arial" w:cs="Arial"/>
          <w:lang w:val="en-US"/>
        </w:rPr>
        <w:t>aliphatic</w:t>
      </w:r>
      <w:r w:rsidRPr="001E2CC7">
        <w:rPr>
          <w:rFonts w:ascii="Arial" w:hAnsi="Arial" w:cs="Arial"/>
          <w:lang w:val="el-GR"/>
        </w:rPr>
        <w:t xml:space="preserve"> </w:t>
      </w:r>
      <w:r w:rsidRPr="001E2CC7">
        <w:rPr>
          <w:rFonts w:ascii="Arial" w:hAnsi="Arial" w:cs="Arial"/>
          <w:lang w:val="en-US"/>
        </w:rPr>
        <w:t>phenol</w:t>
      </w:r>
      <w:r w:rsidRPr="001E2CC7">
        <w:rPr>
          <w:rFonts w:ascii="Arial" w:hAnsi="Arial" w:cs="Arial"/>
          <w:lang w:val="el-GR"/>
        </w:rPr>
        <w:t xml:space="preserve">, </w:t>
      </w:r>
      <w:r w:rsidRPr="001E2CC7">
        <w:rPr>
          <w:rFonts w:ascii="Arial" w:hAnsi="Arial" w:cs="Arial"/>
          <w:lang w:val="en-US"/>
        </w:rPr>
        <w:t>Spinosad</w:t>
      </w:r>
      <w:r w:rsidRPr="001E2CC7">
        <w:rPr>
          <w:rFonts w:ascii="Arial" w:hAnsi="Arial" w:cs="Arial"/>
          <w:lang w:val="el-GR"/>
        </w:rPr>
        <w:t xml:space="preserve"> και πυρεθρίνες) και μιας συνθετικής φυτοπροστατευτικής ουσίας (</w:t>
      </w:r>
      <w:r w:rsidRPr="001E2CC7">
        <w:rPr>
          <w:rFonts w:ascii="Arial" w:hAnsi="Arial" w:cs="Arial"/>
          <w:lang w:val="en-US"/>
        </w:rPr>
        <w:t>chlorothalonil</w:t>
      </w:r>
      <w:r w:rsidRPr="001E2CC7">
        <w:rPr>
          <w:rFonts w:ascii="Arial" w:hAnsi="Arial" w:cs="Arial"/>
          <w:lang w:val="el-GR"/>
        </w:rPr>
        <w:t>), σε ένα εύρος δόσεων (0.2, 0.6, 1.8, 5.4, 16.2 και 48.6 μ</w:t>
      </w:r>
      <w:r w:rsidRPr="001E2CC7">
        <w:rPr>
          <w:rFonts w:ascii="Arial" w:hAnsi="Arial" w:cs="Arial"/>
        </w:rPr>
        <w:t>g</w:t>
      </w:r>
      <w:r w:rsidRPr="001E2CC7">
        <w:rPr>
          <w:rFonts w:ascii="Arial" w:hAnsi="Arial" w:cs="Arial"/>
          <w:lang w:val="el-GR"/>
        </w:rPr>
        <w:t xml:space="preserve"> </w:t>
      </w:r>
      <w:r w:rsidRPr="001E2CC7">
        <w:rPr>
          <w:rFonts w:ascii="Arial" w:hAnsi="Arial" w:cs="Arial"/>
        </w:rPr>
        <w:t>g</w:t>
      </w:r>
      <w:r w:rsidRPr="001E2CC7">
        <w:rPr>
          <w:rFonts w:ascii="Cambria Math" w:hAnsi="Cambria Math" w:cs="Cambria Math"/>
          <w:lang w:val="el-GR"/>
        </w:rPr>
        <w:t>⁻</w:t>
      </w:r>
      <w:r w:rsidRPr="001E2CC7">
        <w:rPr>
          <w:rFonts w:ascii="Arial" w:hAnsi="Arial" w:cs="Arial"/>
          <w:lang w:val="el-GR"/>
        </w:rPr>
        <w:t xml:space="preserve">¹), στην ποικιλότητα και σύσταση της κοινότητας των βακτηριών, μυκήτων και πρωτίστων σε δύο εδάφη με διαφορετικά φυσικοχημικά χαρακτηριστικά. Όπως παρατηρήθηκε και στο Κεφάλαιο 2, όλες οι φυτοπροστατευτικές ουσίες που αξιολογήθηκαν εμφάνισαν περιορισμένη υπολειμματικότητα στο έδαφος, με μέσες τιμές </w:t>
      </w:r>
      <w:r w:rsidRPr="001E2CC7">
        <w:rPr>
          <w:rFonts w:ascii="Arial" w:hAnsi="Arial" w:cs="Arial"/>
          <w:lang w:val="en-US"/>
        </w:rPr>
        <w:t>DT</w:t>
      </w:r>
      <w:r w:rsidRPr="001E2CC7">
        <w:rPr>
          <w:rFonts w:ascii="Arial" w:hAnsi="Arial" w:cs="Arial"/>
          <w:vertAlign w:val="subscript"/>
          <w:lang w:val="el-GR"/>
        </w:rPr>
        <w:t xml:space="preserve">50 </w:t>
      </w:r>
      <w:r w:rsidRPr="001E2CC7">
        <w:rPr>
          <w:rFonts w:ascii="Arial" w:hAnsi="Arial" w:cs="Arial"/>
          <w:lang w:val="el-GR"/>
        </w:rPr>
        <w:t xml:space="preserve">που κυμαίνονταν από 0,86 έως 15,39 ημέρες. Το </w:t>
      </w:r>
      <w:r w:rsidRPr="001E2CC7">
        <w:rPr>
          <w:rFonts w:ascii="Arial" w:hAnsi="Arial" w:cs="Arial"/>
          <w:lang w:val="en-US"/>
        </w:rPr>
        <w:t>chlorothalonil</w:t>
      </w:r>
      <w:r w:rsidRPr="001E2CC7">
        <w:rPr>
          <w:rFonts w:ascii="Arial" w:hAnsi="Arial" w:cs="Arial"/>
          <w:lang w:val="el-GR"/>
        </w:rPr>
        <w:t xml:space="preserve"> παρουσίασε σταθερά τη υψηλότερη τοξικότητα, διαταράσσοντας σε σημαντικό βαθμό την σύσταση των κοινοτήτων των βακτηρίων και πρωτίστων. Από τις βιολογικές φυτοπροστατευτικές ουσίες που αξιολογήθηκαν, οι πυρεθρίνες εμφάνισαν τις μεγαλύτερες επιδράσεις, ενώ οι υπόλοιπες ενώσεις βιολογικής προέλευσης δεν προκάλεσαν σημαντικές μεταβολές στις μικροβιακές κοινότητες του εδάφους.</w:t>
      </w:r>
      <w:r w:rsidRPr="001E2CC7">
        <w:rPr>
          <w:rFonts w:ascii="Arial" w:hAnsi="Arial" w:cs="Arial"/>
          <w:lang w:val="el-GR" w:eastAsia="ja-JP"/>
        </w:rPr>
        <w:t xml:space="preserve"> </w:t>
      </w:r>
      <w:r w:rsidRPr="001E2CC7">
        <w:rPr>
          <w:rFonts w:ascii="Arial" w:hAnsi="Arial" w:cs="Arial"/>
          <w:lang w:val="el-GR"/>
        </w:rPr>
        <w:t xml:space="preserve">Τα δεδομένα από την μεταταξινομική ανάλυση των μικροβιακών κοινοτήτων του εδάφους χρησιμοποιήθηκαν για την κατασκευή </w:t>
      </w:r>
      <w:r w:rsidRPr="001E2CC7">
        <w:rPr>
          <w:rFonts w:ascii="Arial" w:hAnsi="Arial" w:cs="Arial"/>
          <w:lang w:val="en-US"/>
        </w:rPr>
        <w:t>SSD</w:t>
      </w:r>
      <w:r w:rsidRPr="001E2CC7">
        <w:rPr>
          <w:rFonts w:ascii="Arial" w:hAnsi="Arial" w:cs="Arial"/>
          <w:lang w:val="el-GR"/>
        </w:rPr>
        <w:t xml:space="preserve"> από τις οποίες παραλήφθηκαν τιμές </w:t>
      </w:r>
      <w:r w:rsidRPr="001E2CC7">
        <w:rPr>
          <w:rFonts w:ascii="Arial" w:hAnsi="Arial" w:cs="Arial"/>
          <w:lang w:val="en-US"/>
        </w:rPr>
        <w:t>Hazard</w:t>
      </w:r>
      <w:r w:rsidRPr="001E2CC7">
        <w:rPr>
          <w:rFonts w:ascii="Arial" w:hAnsi="Arial" w:cs="Arial"/>
          <w:lang w:val="el-GR"/>
        </w:rPr>
        <w:t xml:space="preserve"> </w:t>
      </w:r>
      <w:r w:rsidRPr="001E2CC7">
        <w:rPr>
          <w:rFonts w:ascii="Arial" w:hAnsi="Arial" w:cs="Arial"/>
          <w:lang w:val="en-US"/>
        </w:rPr>
        <w:t>Concentration</w:t>
      </w:r>
      <w:r w:rsidRPr="001E2CC7">
        <w:rPr>
          <w:rFonts w:ascii="Arial" w:hAnsi="Arial" w:cs="Arial"/>
          <w:lang w:val="el-GR"/>
        </w:rPr>
        <w:t xml:space="preserve"> 5% (</w:t>
      </w:r>
      <w:r w:rsidRPr="001E2CC7">
        <w:rPr>
          <w:rFonts w:ascii="Arial" w:hAnsi="Arial" w:cs="Arial"/>
          <w:lang w:val="en-US"/>
        </w:rPr>
        <w:t>HC</w:t>
      </w:r>
      <w:r w:rsidRPr="001E2CC7">
        <w:rPr>
          <w:rFonts w:ascii="Arial" w:hAnsi="Arial" w:cs="Arial"/>
          <w:lang w:val="el-GR"/>
        </w:rPr>
        <w:t xml:space="preserve">5) για τις διάφορες φυτοπροστατευτικές ουσίες στα δύο εδάφη. Αξιοσημείωτο είναι ότι το </w:t>
      </w:r>
      <w:r w:rsidRPr="001E2CC7">
        <w:rPr>
          <w:rFonts w:ascii="Arial" w:hAnsi="Arial" w:cs="Arial"/>
          <w:lang w:val="en-US"/>
        </w:rPr>
        <w:t>chlorothalonil</w:t>
      </w:r>
      <w:r w:rsidRPr="001E2CC7">
        <w:rPr>
          <w:rFonts w:ascii="Arial" w:hAnsi="Arial" w:cs="Arial"/>
          <w:lang w:val="el-GR"/>
        </w:rPr>
        <w:t xml:space="preserve"> παρουσίασε σημαντικά χαμηλότερες τιμές </w:t>
      </w:r>
      <w:r w:rsidRPr="001E2CC7">
        <w:rPr>
          <w:rFonts w:ascii="Arial" w:hAnsi="Arial" w:cs="Arial"/>
          <w:lang w:val="en-US"/>
        </w:rPr>
        <w:t>HC</w:t>
      </w:r>
      <w:r w:rsidRPr="001E2CC7">
        <w:rPr>
          <w:rFonts w:ascii="Arial" w:hAnsi="Arial" w:cs="Arial"/>
          <w:lang w:val="el-GR"/>
        </w:rPr>
        <w:t>5 (2.8 - 18.6 μ</w:t>
      </w:r>
      <w:r w:rsidRPr="001E2CC7">
        <w:rPr>
          <w:rFonts w:ascii="Arial" w:hAnsi="Arial" w:cs="Arial"/>
          <w:lang w:val="en-US"/>
        </w:rPr>
        <w:t>g</w:t>
      </w:r>
      <w:r w:rsidRPr="001E2CC7">
        <w:rPr>
          <w:rFonts w:ascii="Arial" w:hAnsi="Arial" w:cs="Arial"/>
          <w:lang w:val="el-GR"/>
        </w:rPr>
        <w:t xml:space="preserve"> </w:t>
      </w:r>
      <w:r w:rsidRPr="001E2CC7">
        <w:rPr>
          <w:rFonts w:ascii="Arial" w:hAnsi="Arial" w:cs="Arial"/>
          <w:lang w:val="en-US"/>
        </w:rPr>
        <w:t>g</w:t>
      </w:r>
      <w:r w:rsidRPr="001E2CC7">
        <w:rPr>
          <w:rFonts w:ascii="Cambria Math" w:hAnsi="Cambria Math" w:cs="Cambria Math"/>
          <w:lang w:val="el-GR"/>
        </w:rPr>
        <w:t>⁻</w:t>
      </w:r>
      <w:r w:rsidRPr="001E2CC7">
        <w:rPr>
          <w:rFonts w:ascii="Arial" w:hAnsi="Arial" w:cs="Arial"/>
          <w:lang w:val="el-GR"/>
        </w:rPr>
        <w:t>¹ για τα βακτήρια· 7.9 μ</w:t>
      </w:r>
      <w:r w:rsidRPr="001E2CC7">
        <w:rPr>
          <w:rFonts w:ascii="Arial" w:hAnsi="Arial" w:cs="Arial"/>
          <w:lang w:val="en-US"/>
        </w:rPr>
        <w:t>g</w:t>
      </w:r>
      <w:r w:rsidRPr="001E2CC7">
        <w:rPr>
          <w:rFonts w:ascii="Arial" w:hAnsi="Arial" w:cs="Arial"/>
          <w:lang w:val="el-GR"/>
        </w:rPr>
        <w:t xml:space="preserve"> </w:t>
      </w:r>
      <w:r w:rsidRPr="001E2CC7">
        <w:rPr>
          <w:rFonts w:ascii="Arial" w:hAnsi="Arial" w:cs="Arial"/>
          <w:lang w:val="en-US"/>
        </w:rPr>
        <w:t>g</w:t>
      </w:r>
      <w:r w:rsidRPr="001E2CC7">
        <w:rPr>
          <w:rFonts w:ascii="Cambria Math" w:hAnsi="Cambria Math" w:cs="Cambria Math"/>
          <w:lang w:val="el-GR"/>
        </w:rPr>
        <w:t>⁻</w:t>
      </w:r>
      <w:r w:rsidRPr="001E2CC7">
        <w:rPr>
          <w:rFonts w:ascii="Arial" w:hAnsi="Arial" w:cs="Arial"/>
          <w:lang w:val="el-GR"/>
        </w:rPr>
        <w:t>¹ για τα πρωτίστια) σε σύγκριση με τα βιολογικής προέλευσης φυτοπροστατευτικά όπως οι πυρεθρίνες (43.0 μ</w:t>
      </w:r>
      <w:r w:rsidRPr="001E2CC7">
        <w:rPr>
          <w:rFonts w:ascii="Arial" w:hAnsi="Arial" w:cs="Arial"/>
          <w:lang w:val="en-US"/>
        </w:rPr>
        <w:t>g</w:t>
      </w:r>
      <w:r w:rsidRPr="001E2CC7">
        <w:rPr>
          <w:rFonts w:ascii="Arial" w:hAnsi="Arial" w:cs="Arial"/>
          <w:lang w:val="el-GR"/>
        </w:rPr>
        <w:t xml:space="preserve"> </w:t>
      </w:r>
      <w:r w:rsidRPr="001E2CC7">
        <w:rPr>
          <w:rFonts w:ascii="Arial" w:hAnsi="Arial" w:cs="Arial"/>
          <w:lang w:val="en-US"/>
        </w:rPr>
        <w:t>g</w:t>
      </w:r>
      <w:r w:rsidRPr="001E2CC7">
        <w:rPr>
          <w:rFonts w:ascii="Cambria Math" w:hAnsi="Cambria Math" w:cs="Cambria Math"/>
          <w:lang w:val="el-GR"/>
        </w:rPr>
        <w:t>⁻</w:t>
      </w:r>
      <w:r w:rsidRPr="001E2CC7">
        <w:rPr>
          <w:rFonts w:ascii="Arial" w:hAnsi="Arial" w:cs="Arial"/>
          <w:lang w:val="el-GR"/>
        </w:rPr>
        <w:t xml:space="preserve">¹) για τα πρωτίστια και το </w:t>
      </w:r>
      <w:r w:rsidRPr="001E2CC7">
        <w:rPr>
          <w:rFonts w:ascii="Arial" w:hAnsi="Arial" w:cs="Arial"/>
          <w:lang w:val="en-US"/>
        </w:rPr>
        <w:t>dihydrochalcone</w:t>
      </w:r>
      <w:r w:rsidRPr="001E2CC7">
        <w:rPr>
          <w:rFonts w:ascii="Arial" w:hAnsi="Arial" w:cs="Arial"/>
          <w:lang w:val="el-GR"/>
        </w:rPr>
        <w:t xml:space="preserve">  (45.8 μ</w:t>
      </w:r>
      <w:r w:rsidRPr="001E2CC7">
        <w:rPr>
          <w:rFonts w:ascii="Arial" w:hAnsi="Arial" w:cs="Arial"/>
          <w:lang w:val="en-US"/>
        </w:rPr>
        <w:t>g</w:t>
      </w:r>
      <w:r w:rsidRPr="001E2CC7">
        <w:rPr>
          <w:rFonts w:ascii="Arial" w:hAnsi="Arial" w:cs="Arial"/>
          <w:lang w:val="el-GR"/>
        </w:rPr>
        <w:t xml:space="preserve"> </w:t>
      </w:r>
      <w:r w:rsidRPr="001E2CC7">
        <w:rPr>
          <w:rFonts w:ascii="Arial" w:hAnsi="Arial" w:cs="Arial"/>
          <w:lang w:val="en-US"/>
        </w:rPr>
        <w:t>g</w:t>
      </w:r>
      <w:r w:rsidRPr="001E2CC7">
        <w:rPr>
          <w:rFonts w:ascii="Cambria Math" w:hAnsi="Cambria Math" w:cs="Cambria Math"/>
          <w:lang w:val="el-GR"/>
        </w:rPr>
        <w:t>⁻</w:t>
      </w:r>
      <w:r w:rsidRPr="001E2CC7">
        <w:rPr>
          <w:rFonts w:ascii="Arial" w:hAnsi="Arial" w:cs="Arial"/>
          <w:lang w:val="el-GR"/>
        </w:rPr>
        <w:t>¹) για τα βακτήρια.</w:t>
      </w:r>
      <w:r w:rsidRPr="001E2CC7">
        <w:rPr>
          <w:rFonts w:ascii="Arial" w:hAnsi="Arial" w:cs="Arial"/>
          <w:lang w:val="el-GR" w:eastAsia="ja-JP"/>
        </w:rPr>
        <w:t xml:space="preserve"> </w:t>
      </w:r>
      <w:r w:rsidRPr="001E2CC7">
        <w:rPr>
          <w:rFonts w:ascii="Arial" w:hAnsi="Arial" w:cs="Arial"/>
          <w:lang w:val="el-GR"/>
        </w:rPr>
        <w:t>Το κεφάλαιο αυτό εισάγει μια πρωτοποριακή μεθοδολογία, μεταβαίνοντας από ποιοτικά δεδομένα μικροβιακών κοινοτήτων σε ποσοτική εκτίμηση κινδύνου, προσφέροντας ένα νέο πλαίσιο για την παραλαβή οικοτοξικολογικών παραμέτρων για τους μικροοργανισμούς του εδάφους.</w:t>
      </w:r>
    </w:p>
    <w:p w14:paraId="317BEAE7" w14:textId="79FA9A38" w:rsidR="004142E2" w:rsidRPr="001E2CC7" w:rsidRDefault="001E2CC7" w:rsidP="001E2CC7">
      <w:pPr>
        <w:spacing w:line="276" w:lineRule="auto"/>
        <w:jc w:val="both"/>
        <w:rPr>
          <w:rFonts w:ascii="Arial" w:hAnsi="Arial" w:cs="Arial"/>
        </w:rPr>
      </w:pPr>
      <w:r w:rsidRPr="001E2CC7">
        <w:rPr>
          <w:rFonts w:ascii="Arial" w:hAnsi="Arial" w:cs="Arial"/>
          <w:kern w:val="0"/>
          <w:lang w:val="el-GR"/>
          <w14:ligatures w14:val="none"/>
        </w:rPr>
        <w:tab/>
        <w:t xml:space="preserve">Τέλος, η μελέτη μας αποδεικνύει ότι το υπάρχον κανονιστικό πλαίσιο για την αξιολόγηση της επικινδύνοτητας των φυτοπροστατευτικών ουσιών όσων αφορά τους είναι ανεπαρκές για την προστασία των μικροβιακών κοινοτήτων του εδάφους. Τα δεδομένα μας παρέχουν ισχυρές αποδείξεις ότι ή χρήση των νέων μοριακών εργαλείων είναι απαραίτητη για την ανίχνευση των πραγματικών επιπτώσεων των φυτοπροστατευτικών ουσιών, συμπεριλαμβανομένων και εκείνων βιολογικής προέλευσης στις μικροβιακές κοινότητες του εδάφους. Επιπλέον, θεμελιώνουμε ένα νέο παράδειγμα αξιοποίησης των </w:t>
      </w:r>
      <w:r w:rsidRPr="001E2CC7">
        <w:rPr>
          <w:rFonts w:ascii="Arial" w:hAnsi="Arial" w:cs="Arial"/>
          <w:kern w:val="0"/>
          <w:lang w:val="en-US"/>
          <w14:ligatures w14:val="none"/>
        </w:rPr>
        <w:t>SSDs</w:t>
      </w:r>
      <w:r w:rsidRPr="001E2CC7">
        <w:rPr>
          <w:rFonts w:ascii="Arial" w:hAnsi="Arial" w:cs="Arial"/>
          <w:kern w:val="0"/>
          <w:lang w:val="el-GR"/>
          <w14:ligatures w14:val="none"/>
        </w:rPr>
        <w:t>, γεφυρώνοντας έτσι ένα κρίσιμο κενό μεταξύ της σύγχρονης μικροβιακής οικολογίας και της οικοτοξικολογίας. Η εργασία αυτή θέτει τα θεμέλια για την ανάπτυξη μιας πιο ευαίσθητης, ουσιαστικής και προστατευτικής στρατηγικής αξιολόγησης επικινδυνότητας για τα εδαφικά οικοσυστήματα.</w:t>
      </w:r>
    </w:p>
    <w:sectPr w:rsidR="004142E2" w:rsidRPr="001E2CC7">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FE67" w14:textId="77777777" w:rsidR="00940E0B" w:rsidRDefault="00940E0B" w:rsidP="001E2CC7">
      <w:pPr>
        <w:spacing w:after="0" w:line="240" w:lineRule="auto"/>
      </w:pPr>
      <w:r>
        <w:separator/>
      </w:r>
    </w:p>
  </w:endnote>
  <w:endnote w:type="continuationSeparator" w:id="0">
    <w:p w14:paraId="7046529B" w14:textId="77777777" w:rsidR="00940E0B" w:rsidRDefault="00940E0B" w:rsidP="001E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37B5" w14:textId="04E9529D" w:rsidR="001E2CC7" w:rsidRDefault="001E2CC7">
    <w:pPr>
      <w:pStyle w:val="Footer"/>
    </w:pPr>
    <w:r>
      <w:rPr>
        <w:noProof/>
      </w:rPr>
      <mc:AlternateContent>
        <mc:Choice Requires="wps">
          <w:drawing>
            <wp:anchor distT="0" distB="0" distL="0" distR="0" simplePos="0" relativeHeight="251659264" behindDoc="0" locked="0" layoutInCell="1" allowOverlap="1" wp14:anchorId="06131167" wp14:editId="144C9AD4">
              <wp:simplePos x="635" y="635"/>
              <wp:positionH relativeFrom="page">
                <wp:align>left</wp:align>
              </wp:positionH>
              <wp:positionV relativeFrom="page">
                <wp:align>bottom</wp:align>
              </wp:positionV>
              <wp:extent cx="906780" cy="387985"/>
              <wp:effectExtent l="0" t="0" r="7620" b="0"/>
              <wp:wrapNone/>
              <wp:docPr id="3412000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63518D08" w14:textId="4A9C661D"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31167" id="_x0000_t202" coordsize="21600,21600" o:spt="202" path="m,l,21600r21600,l21600,xe">
              <v:stroke joinstyle="miter"/>
              <v:path gradientshapeok="t" o:connecttype="rect"/>
            </v:shapetype>
            <v:shape id="Text Box 2" o:spid="_x0000_s1026" type="#_x0000_t202" alt="[OFFICIAL]" style="position:absolute;margin-left:0;margin-top:0;width:71.4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oNRDwIAABoEAAAOAAAAZHJzL2Uyb0RvYy54bWysU8Fu2zAMvQ/YPwi6L3aypU2MOEXWIsOA&#13;&#10;oC2QDj0rshQbkERBUmJnXz9KdpKu22nYRaZI+pF8fFrcdVqRo3C+AVPS8SinRBgOVWP2Jf3xsv40&#13;&#10;o8QHZiqmwIiSnoSnd8uPHxatLcQEalCVcARBjC9aW9I6BFtkmee10MyPwAqDQQlOs4BXt88qx1pE&#13;&#10;1yqb5PlN1oKrrAMuvEfvQx+ky4QvpeDhSUovAlElxd5COl06d/HMlgtW7B2zdcOHNtg/dKFZY7Do&#13;&#10;BeqBBUYOrvkDSjfcgQcZRhx0BlI2XKQZcJpx/m6abc2sSLMgOd5eaPL/D5Y/Hrf22ZHQfYUOFxgJ&#13;&#10;aa0vPDrjPJ10On6xU4JxpPB0oU10gXB0zvOb2xlGOIY+z27ns2lEya4/W+fDNwGaRKOkDreSyGLH&#13;&#10;jQ996jkl1jKwbpRKm1HmNwdiRk927TBaodt1Q9s7qE44jYN+0d7ydYM1N8yHZ+Zws9gmqjU84SEV&#13;&#10;tCWFwaKkBvfzb/6Yj4RjlJIWlVJSg1KmRH03uIjJ9EueR2WlGxrubOySMZ7n0xg3B30PKMIxvgfL&#13;&#10;kxmTgzqb0oF+RTGvYjUMMcOxZkl3Z/M+9LrFx8DFapWSUESWhY3ZWh6hI1mRyZfulTk70B1wT49w&#13;&#10;1hIr3rHe58Y/vV0dAnKfVhKJ7dkc+EYBpqUOjyUq/O09ZV2f9PIXAAAA//8DAFBLAwQUAAYACAAA&#13;&#10;ACEAz4d9ZdsAAAAJAQAADwAAAGRycy9kb3ducmV2LnhtbEyPQUvDQBCF70L/wzIFb3aTIEHSbEqx&#13;&#10;Kl6Ngh432Wk2NDsbs9s2/nunXuzlwfB4b95XbmY3iBNOofekIF0lIJBab3rqFHy8P989gAhRk9GD&#13;&#10;J1TwgwE21eKm1IXxZ3rDUx07wSUUCq3AxjgWUobWotNh5Uck9vZ+cjryOXXSTPrM5W6QWZLk0ume&#13;&#10;+IPVIz5abA/10SnIdy9bO37mX9/7LLyGxh9i7Z+Uul3OuzXLdg0i4hz/E3Bh4P1Q8bDGH8kEMShg&#13;&#10;mvinF+8+Y5aG29MUZFXKa4LqFwAA//8DAFBLAQItABQABgAIAAAAIQC2gziS/gAAAOEBAAATAAAA&#13;&#10;AAAAAAAAAAAAAAAAAABbQ29udGVudF9UeXBlc10ueG1sUEsBAi0AFAAGAAgAAAAhADj9If/WAAAA&#13;&#10;lAEAAAsAAAAAAAAAAAAAAAAALwEAAF9yZWxzLy5yZWxzUEsBAi0AFAAGAAgAAAAhAJjug1EPAgAA&#13;&#10;GgQAAA4AAAAAAAAAAAAAAAAALgIAAGRycy9lMm9Eb2MueG1sUEsBAi0AFAAGAAgAAAAhAM+HfWXb&#13;&#10;AAAACQEAAA8AAAAAAAAAAAAAAAAAaQQAAGRycy9kb3ducmV2LnhtbFBLBQYAAAAABAAEAPMAAABx&#13;&#10;BQAAAAA=&#13;&#10;" filled="f" stroked="f">
              <v:fill o:detectmouseclick="t"/>
              <v:textbox style="mso-fit-shape-to-text:t" inset="20pt,0,0,15pt">
                <w:txbxContent>
                  <w:p w14:paraId="63518D08" w14:textId="4A9C661D"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A6F" w14:textId="7ABCD51C" w:rsidR="001E2CC7" w:rsidRDefault="001E2CC7">
    <w:pPr>
      <w:pStyle w:val="Footer"/>
    </w:pPr>
    <w:r>
      <w:rPr>
        <w:noProof/>
      </w:rPr>
      <mc:AlternateContent>
        <mc:Choice Requires="wps">
          <w:drawing>
            <wp:anchor distT="0" distB="0" distL="0" distR="0" simplePos="0" relativeHeight="251660288" behindDoc="0" locked="0" layoutInCell="1" allowOverlap="1" wp14:anchorId="39489878" wp14:editId="77B875AC">
              <wp:simplePos x="0" y="0"/>
              <wp:positionH relativeFrom="page">
                <wp:align>left</wp:align>
              </wp:positionH>
              <wp:positionV relativeFrom="page">
                <wp:align>bottom</wp:align>
              </wp:positionV>
              <wp:extent cx="906780" cy="387985"/>
              <wp:effectExtent l="0" t="0" r="7620" b="0"/>
              <wp:wrapNone/>
              <wp:docPr id="208029081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6E66D427" w14:textId="79E5C55D"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489878" id="_x0000_t202" coordsize="21600,21600" o:spt="202" path="m,l,21600r21600,l21600,xe">
              <v:stroke joinstyle="miter"/>
              <v:path gradientshapeok="t" o:connecttype="rect"/>
            </v:shapetype>
            <v:shape id="Text Box 3" o:spid="_x0000_s1027" type="#_x0000_t202" alt="[OFFICIAL]" style="position:absolute;margin-left:0;margin-top:0;width:71.4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XRoEQIAACEEAAAOAAAAZHJzL2Uyb0RvYy54bWysU8tu2zAQvBfoPxC815LdOrEFy4GbwEUB&#13;&#10;IwngFDlTFGkJILkESVtyv75Lyo807anohVrurvYxM1zc9VqRg3C+BVPS8SinRBgOdWt2Jf3xsv40&#13;&#10;o8QHZmqmwIiSHoWnd8uPHxadLcQEGlC1cASLGF90tqRNCLbIMs8boZkfgRUGgxKcZgGvbpfVjnVY&#13;&#10;Xatskuc3WQeutg648B69D0OQLlN9KQUPT1J6EYgqKc4W0unSWcUzWy5YsXPMNi0/jcH+YQrNWoNN&#13;&#10;L6UeWGBk79o/SumWO/Agw4iDzkDKlou0A24zzt9ts22YFWkXBMfbC0z+/5Xlj4etfXYk9F+hRwIj&#13;&#10;IJ31hUdn3KeXTscvTkowjhAeL7CJPhCOznl+czvDCMfQ59ntfDaNVbLrz9b58E2AJtEoqUNWEljs&#13;&#10;sPFhSD2nxF4G1q1SiRllfnNgzejJrhNGK/RVT9r6zfQV1EdcysHAt7d83WLrDfPhmTkkGKdF0YYn&#13;&#10;PKSCrqRwsihpwP38mz/mI+4YpaRDwZTUoKIpUd8N8jGZfsnzKLB0Q8OdjSoZ43k+jXGz1/eAWhzj&#13;&#10;s7A8mTE5qLMpHehX1PQqdsMQMxx7lrQ6m/dhkC++CS5Wq5SEWrIsbMzW8lg6YhYBfelfmbMn1APS&#13;&#10;9QhnSbHiHfhDbvzT29U+IAWJmYjvgOYJdtRh4vb0ZqLQ395T1vVlL38BAAD//wMAUEsDBBQABgAI&#13;&#10;AAAAIQDPh31l2wAAAAkBAAAPAAAAZHJzL2Rvd25yZXYueG1sTI9BS8NAEIXvQv/DMgVvdpMgQdJs&#13;&#10;SrEqXo2CHjfZaTY0Oxuz2zb+e6de7OXB8Hhv3lduZjeIE06h96QgXSUgkFpveuoUfLw/3z2ACFGT&#13;&#10;0YMnVPCDATbV4qbUhfFnesNTHTvBJRQKrcDGOBZShtai02HlRyT29n5yOvI5ddJM+szlbpBZkuTS&#13;&#10;6Z74g9UjPlpsD/XRKch3L1s7fuZf3/ssvIbGH2Ltn5S6Xc67Nct2DSLiHP8TcGHg/VDxsMYfyQQx&#13;&#10;KGCa+KcX7z5jlobb0xRkVcprguoXAAD//wMAUEsBAi0AFAAGAAgAAAAhALaDOJL+AAAA4QEAABMA&#13;&#10;AAAAAAAAAAAAAAAAAAAAAFtDb250ZW50X1R5cGVzXS54bWxQSwECLQAUAAYACAAAACEAOP0h/9YA&#13;&#10;AACUAQAACwAAAAAAAAAAAAAAAAAvAQAAX3JlbHMvLnJlbHNQSwECLQAUAAYACAAAACEAmgF0aBEC&#13;&#10;AAAhBAAADgAAAAAAAAAAAAAAAAAuAgAAZHJzL2Uyb0RvYy54bWxQSwECLQAUAAYACAAAACEAz4d9&#13;&#10;ZdsAAAAJAQAADwAAAAAAAAAAAAAAAABrBAAAZHJzL2Rvd25yZXYueG1sUEsFBgAAAAAEAAQA8wAA&#13;&#10;AHMFAAAAAA==&#13;&#10;" filled="f" stroked="f">
              <v:fill o:detectmouseclick="t"/>
              <v:textbox style="mso-fit-shape-to-text:t" inset="20pt,0,0,15pt">
                <w:txbxContent>
                  <w:p w14:paraId="6E66D427" w14:textId="79E5C55D"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4109" w14:textId="76A28CB1" w:rsidR="001E2CC7" w:rsidRDefault="001E2CC7">
    <w:pPr>
      <w:pStyle w:val="Footer"/>
    </w:pPr>
    <w:r>
      <w:rPr>
        <w:noProof/>
      </w:rPr>
      <mc:AlternateContent>
        <mc:Choice Requires="wps">
          <w:drawing>
            <wp:anchor distT="0" distB="0" distL="0" distR="0" simplePos="0" relativeHeight="251658240" behindDoc="0" locked="0" layoutInCell="1" allowOverlap="1" wp14:anchorId="54FC4D26" wp14:editId="475C77E3">
              <wp:simplePos x="635" y="635"/>
              <wp:positionH relativeFrom="page">
                <wp:align>left</wp:align>
              </wp:positionH>
              <wp:positionV relativeFrom="page">
                <wp:align>bottom</wp:align>
              </wp:positionV>
              <wp:extent cx="906780" cy="387985"/>
              <wp:effectExtent l="0" t="0" r="7620" b="0"/>
              <wp:wrapNone/>
              <wp:docPr id="136257245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3C6DA655" w14:textId="5592DCD9"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FC4D26" id="_x0000_t202" coordsize="21600,21600" o:spt="202" path="m,l,21600r21600,l21600,xe">
              <v:stroke joinstyle="miter"/>
              <v:path gradientshapeok="t" o:connecttype="rect"/>
            </v:shapetype>
            <v:shape id="Text Box 1" o:spid="_x0000_s1028" type="#_x0000_t202" alt="[OFFICIAL]" style="position:absolute;margin-left:0;margin-top:0;width:71.4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4cqEwIAACEEAAAOAAAAZHJzL2Uyb0RvYy54bWysU99v2jAQfp+0/8Hy+0hgo4WIULFWTJNQ&#13;&#10;W4lOfTaOTSLZPss2JOyv39kh0HV7mvbinO8u9+P7Pi/uOq3IUTjfgCnpeJRTIgyHqjH7kv54WX+a&#13;&#10;UeIDMxVTYERJT8LTu+XHD4vWFmICNahKOIJFjC9aW9I6BFtkmee10MyPwAqDQQlOs4BXt88qx1qs&#13;&#10;rlU2yfObrAVXWQdceI/ehz5Il6m+lIKHJym9CESVFGcL6XTp3MUzWy5YsXfM1g0/j8H+YQrNGoNN&#13;&#10;L6UeWGDk4Jo/SumGO/Agw4iDzkDKhou0A24zzt9ts62ZFWkXBMfbC0z+/5Xlj8etfXYkdF+hQwIj&#13;&#10;IK31hUdn3KeTTscvTkowjhCeLrCJLhCOznl+czvDCMfQ59ntfDaNVbLrz9b58E2AJtEoqUNWEljs&#13;&#10;uPGhTx1SYi8D60apxIwyvzmwZvRk1wmjFbpdR5qqpJNh+h1UJ1zKQc+3t3zdYOsN8+GZOSQYp0XR&#13;&#10;hic8pIK2pHC2KKnB/fybP+Yj7hilpEXBlNSgoilR3w3yMZl+yfMosHRDww3GLhnjeT6NcXPQ94Ba&#13;&#10;HOOzsDyZMTmowZQO9CtqehW7YYgZjj1LuhvM+9DLF98EF6tVSkItWRY2Zmt5LB0xi4C+dK/M2TPq&#13;&#10;Ael6hEFSrHgHfp8b//R2dQhIQWIm4tujeYYddZi4Pb+ZKPS395R1fdnLXwAAAP//AwBQSwMEFAAG&#13;&#10;AAgAAAAhAM+HfWXbAAAACQEAAA8AAABkcnMvZG93bnJldi54bWxMj0FLw0AQhe9C/8MyBW92kyBB&#13;&#10;0mxKsSpejYIeN9lpNjQ7G7PbNv57p17s5cHweG/eV25mN4gTTqH3pCBdJSCQWm966hR8vD/fPYAI&#13;&#10;UZPRgydU8IMBNtXiptSF8Wd6w1MdO8ElFAqtwMY4FlKG1qLTYeVHJPb2fnI68jl10kz6zOVukFmS&#13;&#10;5NLpnviD1SM+WmwP9dEpyHcvWzt+5l/f+yy8hsYfYu2flLpdzrs1y3YNIuIc/xNwYeD9UPGwxh/J&#13;&#10;BDEoYJr4pxfvPmOWhtvTFGRVymuC6hcAAP//AwBQSwECLQAUAAYACAAAACEAtoM4kv4AAADhAQAA&#13;&#10;EwAAAAAAAAAAAAAAAAAAAAAAW0NvbnRlbnRfVHlwZXNdLnhtbFBLAQItABQABgAIAAAAIQA4/SH/&#13;&#10;1gAAAJQBAAALAAAAAAAAAAAAAAAAAC8BAABfcmVscy8ucmVsc1BLAQItABQABgAIAAAAIQDLl4cq&#13;&#10;EwIAACEEAAAOAAAAAAAAAAAAAAAAAC4CAABkcnMvZTJvRG9jLnhtbFBLAQItABQABgAIAAAAIQDP&#13;&#10;h31l2wAAAAkBAAAPAAAAAAAAAAAAAAAAAG0EAABkcnMvZG93bnJldi54bWxQSwUGAAAAAAQABADz&#13;&#10;AAAAdQUAAAAA&#13;&#10;" filled="f" stroked="f">
              <v:fill o:detectmouseclick="t"/>
              <v:textbox style="mso-fit-shape-to-text:t" inset="20pt,0,0,15pt">
                <w:txbxContent>
                  <w:p w14:paraId="3C6DA655" w14:textId="5592DCD9" w:rsidR="001E2CC7" w:rsidRPr="001E2CC7" w:rsidRDefault="001E2CC7" w:rsidP="001E2CC7">
                    <w:pPr>
                      <w:spacing w:after="0"/>
                      <w:rPr>
                        <w:rFonts w:ascii="Aptos" w:eastAsia="Aptos" w:hAnsi="Aptos" w:cs="Aptos"/>
                        <w:noProof/>
                        <w:color w:val="008000"/>
                        <w:sz w:val="22"/>
                        <w:szCs w:val="22"/>
                      </w:rPr>
                    </w:pPr>
                    <w:r w:rsidRPr="001E2CC7">
                      <w:rPr>
                        <w:rFonts w:ascii="Aptos" w:eastAsia="Aptos" w:hAnsi="Aptos" w:cs="Aptos"/>
                        <w:noProof/>
                        <w:color w:val="008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4893" w14:textId="77777777" w:rsidR="00940E0B" w:rsidRDefault="00940E0B" w:rsidP="001E2CC7">
      <w:pPr>
        <w:spacing w:after="0" w:line="240" w:lineRule="auto"/>
      </w:pPr>
      <w:r>
        <w:separator/>
      </w:r>
    </w:p>
  </w:footnote>
  <w:footnote w:type="continuationSeparator" w:id="0">
    <w:p w14:paraId="1BE836D6" w14:textId="77777777" w:rsidR="00940E0B" w:rsidRDefault="00940E0B" w:rsidP="001E2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C7"/>
    <w:rsid w:val="00082CF3"/>
    <w:rsid w:val="001E2CC7"/>
    <w:rsid w:val="004142E2"/>
    <w:rsid w:val="00940E0B"/>
    <w:rsid w:val="00AF1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2EA11D"/>
  <w15:chartTrackingRefBased/>
  <w15:docId w15:val="{3C99E6FC-FF93-BF42-B1D2-F991E8FE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C7"/>
    <w:rPr>
      <w:rFonts w:eastAsiaTheme="minorEastAsia"/>
    </w:rPr>
  </w:style>
  <w:style w:type="paragraph" w:styleId="Heading1">
    <w:name w:val="heading 1"/>
    <w:basedOn w:val="Normal"/>
    <w:next w:val="Normal"/>
    <w:link w:val="Heading1Char"/>
    <w:uiPriority w:val="9"/>
    <w:qFormat/>
    <w:rsid w:val="001E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C7"/>
    <w:rPr>
      <w:rFonts w:eastAsiaTheme="majorEastAsia" w:cstheme="majorBidi"/>
      <w:color w:val="272727" w:themeColor="text1" w:themeTint="D8"/>
    </w:rPr>
  </w:style>
  <w:style w:type="paragraph" w:styleId="Title">
    <w:name w:val="Title"/>
    <w:basedOn w:val="Normal"/>
    <w:next w:val="Normal"/>
    <w:link w:val="TitleChar"/>
    <w:uiPriority w:val="10"/>
    <w:qFormat/>
    <w:rsid w:val="001E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C7"/>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1E2CC7"/>
    <w:rPr>
      <w:i/>
      <w:iCs/>
      <w:color w:val="404040" w:themeColor="text1" w:themeTint="BF"/>
    </w:rPr>
  </w:style>
  <w:style w:type="paragraph" w:styleId="ListParagraph">
    <w:name w:val="List Paragraph"/>
    <w:basedOn w:val="Normal"/>
    <w:uiPriority w:val="34"/>
    <w:qFormat/>
    <w:rsid w:val="001E2CC7"/>
    <w:pPr>
      <w:ind w:left="720"/>
      <w:contextualSpacing/>
    </w:pPr>
    <w:rPr>
      <w:rFonts w:eastAsiaTheme="minorHAnsi"/>
    </w:rPr>
  </w:style>
  <w:style w:type="character" w:styleId="IntenseEmphasis">
    <w:name w:val="Intense Emphasis"/>
    <w:basedOn w:val="DefaultParagraphFont"/>
    <w:uiPriority w:val="21"/>
    <w:qFormat/>
    <w:rsid w:val="001E2CC7"/>
    <w:rPr>
      <w:i/>
      <w:iCs/>
      <w:color w:val="0F4761" w:themeColor="accent1" w:themeShade="BF"/>
    </w:rPr>
  </w:style>
  <w:style w:type="paragraph" w:styleId="IntenseQuote">
    <w:name w:val="Intense Quote"/>
    <w:basedOn w:val="Normal"/>
    <w:next w:val="Normal"/>
    <w:link w:val="IntenseQuoteChar"/>
    <w:uiPriority w:val="30"/>
    <w:qFormat/>
    <w:rsid w:val="001E2CC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1E2CC7"/>
    <w:rPr>
      <w:i/>
      <w:iCs/>
      <w:color w:val="0F4761" w:themeColor="accent1" w:themeShade="BF"/>
    </w:rPr>
  </w:style>
  <w:style w:type="character" w:styleId="IntenseReference">
    <w:name w:val="Intense Reference"/>
    <w:basedOn w:val="DefaultParagraphFont"/>
    <w:uiPriority w:val="32"/>
    <w:qFormat/>
    <w:rsid w:val="001E2CC7"/>
    <w:rPr>
      <w:b/>
      <w:bCs/>
      <w:smallCaps/>
      <w:color w:val="0F4761" w:themeColor="accent1" w:themeShade="BF"/>
      <w:spacing w:val="5"/>
    </w:rPr>
  </w:style>
  <w:style w:type="paragraph" w:styleId="Footer">
    <w:name w:val="footer"/>
    <w:basedOn w:val="Normal"/>
    <w:link w:val="FooterChar"/>
    <w:uiPriority w:val="99"/>
    <w:unhideWhenUsed/>
    <w:rsid w:val="001E2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CC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1236</Words>
  <Characters>7753</Characters>
  <Application>Microsoft Office Word</Application>
  <DocSecurity>0</DocSecurity>
  <Lines>114</Lines>
  <Paragraphs>11</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Pedrinho</dc:creator>
  <cp:keywords/>
  <dc:description/>
  <cp:lastModifiedBy>Alexandre Pedrinho</cp:lastModifiedBy>
  <cp:revision>1</cp:revision>
  <dcterms:created xsi:type="dcterms:W3CDTF">2026-01-14T17:32:00Z</dcterms:created>
  <dcterms:modified xsi:type="dcterms:W3CDTF">2026-01-14T17:37:00Z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513734a5,14564cc7,7bfeb803</vt:lpwstr>
  </property>
  <property fmtid="{D5CDD505-2E9C-101B-9397-08002B2CF9AE}" pid="3" name="ClassificationContentMarkingFooterFontProps">
    <vt:lpwstr>#008000,11,Aptos</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2026-01-14T17:37:38Z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4663dc3d-e2b3-4215-9699-e58cbb9623c3</vt:lpwstr>
  </property>
  <property fmtid="{D5CDD505-2E9C-101B-9397-08002B2CF9AE}" pid="11" name="MSIP_Label_374f931c-4856-410e-abf2-8a4d5c5dd217_ContentBits">
    <vt:lpwstr>2</vt:lpwstr>
  </property>
  <property fmtid="{D5CDD505-2E9C-101B-9397-08002B2CF9AE}" pid="12" name="MSIP_Label_374f931c-4856-410e-abf2-8a4d5c5dd217_Tag">
    <vt:lpwstr>50, 3, 0, 1</vt:lpwstr>
  </property>
</Properties>
</file>