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2658" w14:textId="7E3E33E8" w:rsidR="004142E2" w:rsidRPr="00BE52FD" w:rsidRDefault="00820A7F" w:rsidP="000B6293">
      <w:pPr>
        <w:jc w:val="center"/>
        <w:rPr>
          <w:rFonts w:ascii="Arial" w:hAnsi="Arial" w:cs="Arial"/>
          <w:b/>
          <w:bCs/>
        </w:rPr>
      </w:pPr>
      <w:r w:rsidRPr="00BE52FD">
        <w:rPr>
          <w:rFonts w:ascii="Arial" w:hAnsi="Arial" w:cs="Arial"/>
          <w:b/>
          <w:bCs/>
        </w:rPr>
        <w:t>ABSTRACT</w:t>
      </w:r>
    </w:p>
    <w:p w14:paraId="3D4B4712" w14:textId="77777777" w:rsidR="00BE52FD" w:rsidRPr="00BE52FD" w:rsidRDefault="00BE52FD" w:rsidP="0095148F">
      <w:pPr>
        <w:spacing w:line="276" w:lineRule="auto"/>
        <w:jc w:val="both"/>
        <w:rPr>
          <w:rFonts w:ascii="Arial" w:hAnsi="Arial" w:cs="Arial"/>
        </w:rPr>
      </w:pPr>
      <w:r w:rsidRPr="00BE52FD">
        <w:rPr>
          <w:rFonts w:ascii="Arial" w:hAnsi="Arial" w:cs="Arial"/>
        </w:rPr>
        <w:t>Agricultural systems rely heavily on synthetic pesticides to protect crops against pests and diseases. However, residues of these pesticides often persist in soils and water, leading to contamination that threatens soil biodiversity and disrupts key ecosystem processes. Of particular concern, synthetic pesticides can negatively affect non-target soil microbial groups, including key functional microbial guilds such as ammonia oxidizing microorganisms (AOM) that drive</w:t>
      </w:r>
      <w:r w:rsidRPr="00BE52FD">
        <w:rPr>
          <w:rFonts w:ascii="Arial" w:hAnsi="Arial" w:cs="Arial"/>
          <w:lang w:val="en-US"/>
        </w:rPr>
        <w:t xml:space="preserve"> nitrification, a rate limiting step in</w:t>
      </w:r>
      <w:r w:rsidRPr="00BE52FD">
        <w:rPr>
          <w:rFonts w:ascii="Arial" w:hAnsi="Arial" w:cs="Arial"/>
        </w:rPr>
        <w:t xml:space="preserve"> N cycling. Such disturbances can reduce soil resilience and compromise overall ecosystem heath.</w:t>
      </w:r>
    </w:p>
    <w:p w14:paraId="0BF24014" w14:textId="77777777" w:rsidR="00BE52FD" w:rsidRPr="0095148F" w:rsidRDefault="00BE52FD" w:rsidP="0095148F">
      <w:pPr>
        <w:spacing w:line="276" w:lineRule="auto"/>
        <w:jc w:val="both"/>
        <w:rPr>
          <w:rFonts w:ascii="Arial" w:hAnsi="Arial" w:cs="Arial"/>
        </w:rPr>
      </w:pPr>
      <w:r w:rsidRPr="00BE52FD">
        <w:rPr>
          <w:rFonts w:ascii="Arial" w:hAnsi="Arial" w:cs="Arial"/>
        </w:rPr>
        <w:tab/>
        <w:t xml:space="preserve">Biopesticides, considered a more environmentally friendly alternative due to their perceived lower toxicity, are receiving growing interest as potential alternatives to </w:t>
      </w:r>
      <w:r w:rsidRPr="0095148F">
        <w:rPr>
          <w:rFonts w:ascii="Arial" w:hAnsi="Arial" w:cs="Arial"/>
        </w:rPr>
        <w:t>synthetic chemical pesticides. This class includes plant-derived secondary metabolites (</w:t>
      </w:r>
      <w:r w:rsidRPr="0095148F">
        <w:rPr>
          <w:rFonts w:ascii="Arial" w:hAnsi="Arial" w:cs="Arial"/>
          <w:i/>
          <w:iCs/>
        </w:rPr>
        <w:t>e.g.,</w:t>
      </w:r>
      <w:r w:rsidRPr="0095148F">
        <w:rPr>
          <w:rFonts w:ascii="Arial" w:hAnsi="Arial" w:cs="Arial"/>
        </w:rPr>
        <w:t xml:space="preserve"> dihydrochalcone, isoflavone, aliphatic phenol, and pyrethrins) and microbe-derived compounds (</w:t>
      </w:r>
      <w:r w:rsidRPr="0095148F">
        <w:rPr>
          <w:rFonts w:ascii="Arial" w:hAnsi="Arial" w:cs="Arial"/>
          <w:i/>
          <w:iCs/>
        </w:rPr>
        <w:t>e.g.,</w:t>
      </w:r>
      <w:r w:rsidRPr="0095148F">
        <w:rPr>
          <w:rFonts w:ascii="Arial" w:hAnsi="Arial" w:cs="Arial"/>
        </w:rPr>
        <w:t xml:space="preserve"> spinosad), which are the focus of this thesis. However, given their biosynthetic origin and evolutionary role in defence, these compounds likely retain some degree of biocidal activity. This raise concerns that their use could have unintended effects on non-target soil microbial groups (</w:t>
      </w:r>
      <w:r w:rsidRPr="0095148F">
        <w:rPr>
          <w:rFonts w:ascii="Arial" w:hAnsi="Arial" w:cs="Arial"/>
          <w:i/>
          <w:iCs/>
        </w:rPr>
        <w:t>e.g.,</w:t>
      </w:r>
      <w:r w:rsidRPr="0095148F">
        <w:rPr>
          <w:rFonts w:ascii="Arial" w:hAnsi="Arial" w:cs="Arial"/>
        </w:rPr>
        <w:t xml:space="preserve"> AOM and arbuscular mycorrhizal fungi) and key ecosystem functions such as C and N cycling. </w:t>
      </w:r>
    </w:p>
    <w:p w14:paraId="6790FE21" w14:textId="4E95A668" w:rsidR="00BE52FD" w:rsidRPr="0095148F" w:rsidRDefault="00BE52FD" w:rsidP="0095148F">
      <w:pPr>
        <w:spacing w:line="276" w:lineRule="auto"/>
        <w:jc w:val="both"/>
        <w:rPr>
          <w:rFonts w:ascii="Arial" w:hAnsi="Arial" w:cs="Arial"/>
        </w:rPr>
      </w:pPr>
      <w:r w:rsidRPr="0095148F">
        <w:rPr>
          <w:rFonts w:ascii="Arial" w:hAnsi="Arial" w:cs="Arial"/>
        </w:rPr>
        <w:tab/>
        <w:t>These concerns are particularly relevant, as the current ERA for soil microorganisms relies largely on a single standardized test (OECD 216), which often fails to detect subtle yet important microbial responses. To overcome this limitation, molecular approaches like qPCR and amplicon sequencing can provide high-resolution data on microbial abundance, diversity, and community composition. Integration of these molecular endpoints into environmental risk assessment (ERA) frameworks, complemented by advanced statistical / modelling approaches like Species Sensitivity Distributions (SSDs), presents a promising opportunity to modernize the process. This methodology can establish more ecologically relevant protection thresholds, leading to a more comprehensive and accurate assessment of potential negative effects of both biopesticide and synthetic pesticides. With this in mind, we aimed to (i) compare the toxicity of biopesticides and synthetic pesticides to soil microbiota; (ii) evaluate if high-resolution methods like qPCR reveal potential adverse effects on microbial communities that might be overlooked by the OECD 216 test; (iii) analyse the potential broader impact of biopesticides on microbial diversity and composition via amplicon sequencing; and finally (iv) assess the potential use of the SSD approach to determine ecotoxicological thresholds for ERA.</w:t>
      </w:r>
    </w:p>
    <w:p w14:paraId="4072210A" w14:textId="77777777" w:rsidR="00BE52FD" w:rsidRPr="0095148F" w:rsidRDefault="00BE52FD" w:rsidP="0095148F">
      <w:pPr>
        <w:spacing w:line="276" w:lineRule="auto"/>
        <w:ind w:firstLine="720"/>
        <w:jc w:val="both"/>
        <w:rPr>
          <w:rFonts w:ascii="Arial" w:hAnsi="Arial" w:cs="Arial"/>
        </w:rPr>
      </w:pPr>
      <w:r w:rsidRPr="0095148F">
        <w:rPr>
          <w:rFonts w:ascii="Arial" w:hAnsi="Arial" w:cs="Arial"/>
        </w:rPr>
        <w:t xml:space="preserve">In Chapter 2, we employed the OECD 216 N transformation test to assess the potential negative effects of selected natural products (dihydrochalcone, isoflavone, aliphatic phenol, and spinosad) and a synthetic compound (3,5-dichloroaniline, 3,5-DCA, a transformation product of the fungicide iprodione) on the soil microbiota. The compounds were tested at both the recommended (1x) and ten times the recommend dose (10x). Simultaneously, we conducted a comparative assessment using advanced, an ISO standardized molecular tool (q-PCR) to quantify the abundance of </w:t>
      </w:r>
      <w:r w:rsidRPr="0095148F">
        <w:rPr>
          <w:rFonts w:ascii="Arial" w:hAnsi="Arial" w:cs="Arial"/>
        </w:rPr>
        <w:lastRenderedPageBreak/>
        <w:t>target phylogenetically (i.e. bacteria) and functionally distinct microbial groups (AOM). All pesticides exhibited limited persistence in soil, with mean DT</w:t>
      </w:r>
      <w:r w:rsidRPr="0095148F">
        <w:rPr>
          <w:rFonts w:ascii="Arial" w:hAnsi="Arial" w:cs="Arial"/>
          <w:vertAlign w:val="subscript"/>
        </w:rPr>
        <w:t>50</w:t>
      </w:r>
      <w:r w:rsidRPr="0095148F">
        <w:rPr>
          <w:rFonts w:ascii="Arial" w:hAnsi="Arial" w:cs="Arial"/>
        </w:rPr>
        <w:t> values ranging from 0.93 to 27.23 days across all soils and dose rates. According to the OECD 216 endpoint, none of the compounds caused changes in NO</w:t>
      </w:r>
      <w:r w:rsidRPr="0095148F">
        <w:rPr>
          <w:rFonts w:ascii="Cambria Math" w:hAnsi="Cambria Math" w:cs="Cambria Math"/>
        </w:rPr>
        <w:t>₃⁻</w:t>
      </w:r>
      <w:r w:rsidRPr="0095148F">
        <w:rPr>
          <w:rFonts w:ascii="Arial" w:hAnsi="Arial" w:cs="Arial"/>
        </w:rPr>
        <w:t xml:space="preserve"> concentrations greater than 25% relative to the control at 28 days, indicating no unacceptable effects on soil microbiota according to the regulatory framework in place. In contrast, qPCR measurements revealed significant inhibitory effects, demonstrating a consistent and pronounced reduction (exceeding 25% in most cases) in the abundance of both AOA and AOB following exposure to both the natural products and the synthetic 3,5-DCA. The findings of Chapter 2 demonstrate a critical limitation of the current regulatory framework, as the standard test failed to detect these functionally important microbial responses. This provided the necessary evidence to proceed with are a more comprehensive investigation of community-level effects using higher-resolution </w:t>
      </w:r>
      <w:proofErr w:type="spellStart"/>
      <w:r w:rsidRPr="0095148F">
        <w:rPr>
          <w:rFonts w:ascii="Arial" w:hAnsi="Arial" w:cs="Arial"/>
        </w:rPr>
        <w:t>omic</w:t>
      </w:r>
      <w:proofErr w:type="spellEnd"/>
      <w:r w:rsidRPr="0095148F">
        <w:rPr>
          <w:rFonts w:ascii="Arial" w:hAnsi="Arial" w:cs="Arial"/>
        </w:rPr>
        <w:t xml:space="preserve"> approaches in Chapter 3.</w:t>
      </w:r>
    </w:p>
    <w:p w14:paraId="756A496E" w14:textId="77777777" w:rsidR="00BE52FD" w:rsidRPr="0095148F" w:rsidRDefault="00BE52FD" w:rsidP="0095148F">
      <w:pPr>
        <w:spacing w:line="276" w:lineRule="auto"/>
        <w:ind w:firstLine="720"/>
        <w:jc w:val="both"/>
        <w:rPr>
          <w:rFonts w:ascii="Arial" w:hAnsi="Arial" w:cs="Arial"/>
        </w:rPr>
      </w:pPr>
      <w:r w:rsidRPr="0095148F">
        <w:rPr>
          <w:rFonts w:ascii="Arial" w:hAnsi="Arial" w:cs="Arial"/>
        </w:rPr>
        <w:t>In Chapter 3, our research was expanded to investigate the broader ecological impact of pesticides on soil microbial communities. Using amplicon sequencing, we explored the effects of five biopesticides (dihydrochalcone, isoflavone, aliphatic phenol, spinosad, and pyrethrins) and one synthetic pesticide (chlorothalonil) across a dose gradient (0.2, 0.6, 1.8, 5.4, 16.2, and 48.6 μg g</w:t>
      </w:r>
      <w:r w:rsidRPr="0095148F">
        <w:rPr>
          <w:rFonts w:ascii="Arial" w:hAnsi="Arial" w:cs="Arial"/>
          <w:vertAlign w:val="superscript"/>
        </w:rPr>
        <w:t>-1</w:t>
      </w:r>
      <w:r w:rsidRPr="0095148F">
        <w:rPr>
          <w:rFonts w:ascii="Arial" w:hAnsi="Arial" w:cs="Arial"/>
        </w:rPr>
        <w:t>) on the diversity and composition of bacterial, fungal, and protist communities in two contrasting soils. As observed in Chapter 2, all pesticides exhibited limited persistence, with mean DT</w:t>
      </w:r>
      <w:r w:rsidRPr="0095148F">
        <w:rPr>
          <w:rFonts w:ascii="Arial" w:hAnsi="Arial" w:cs="Arial"/>
          <w:vertAlign w:val="subscript"/>
        </w:rPr>
        <w:t>50</w:t>
      </w:r>
      <w:r w:rsidRPr="0095148F">
        <w:rPr>
          <w:rFonts w:ascii="Arial" w:hAnsi="Arial" w:cs="Arial"/>
        </w:rPr>
        <w:t> values ranging from 0.86 to 15.39 days. The synthetic pesticide chlorothalonil consistently demonstrated the highest toxicity, significantly disrupting bacterial and protist communities. Among the biopesticides, pyrethrins were the next most impactful, while the other plant- and microbe-derived compounds exhibited minimal effects. The amplicon sequencing data was then used to construct SSDs. This approach enabled the derivation of quantitative Hazard Concentration 5% (HC</w:t>
      </w:r>
      <w:r w:rsidRPr="0095148F">
        <w:rPr>
          <w:rFonts w:ascii="Arial" w:hAnsi="Arial" w:cs="Arial"/>
          <w:vertAlign w:val="subscript"/>
        </w:rPr>
        <w:t>5</w:t>
      </w:r>
      <w:r w:rsidRPr="0095148F">
        <w:rPr>
          <w:rFonts w:ascii="Arial" w:hAnsi="Arial" w:cs="Arial"/>
        </w:rPr>
        <w:t>) values. Notably, chlorothalonil had substantially lower HC</w:t>
      </w:r>
      <w:r w:rsidRPr="0095148F">
        <w:rPr>
          <w:rFonts w:ascii="Arial" w:hAnsi="Arial" w:cs="Arial"/>
          <w:vertAlign w:val="subscript"/>
        </w:rPr>
        <w:t>5</w:t>
      </w:r>
      <w:r w:rsidRPr="0095148F">
        <w:rPr>
          <w:rFonts w:ascii="Arial" w:hAnsi="Arial" w:cs="Arial"/>
        </w:rPr>
        <w:t xml:space="preserve"> values (2.8 - 18.6 μg g</w:t>
      </w:r>
      <w:r w:rsidRPr="0095148F">
        <w:rPr>
          <w:rFonts w:ascii="Cambria Math" w:hAnsi="Cambria Math" w:cs="Cambria Math"/>
        </w:rPr>
        <w:t>⁻</w:t>
      </w:r>
      <w:r w:rsidRPr="0095148F">
        <w:rPr>
          <w:rFonts w:ascii="Arial" w:hAnsi="Arial" w:cs="Arial"/>
        </w:rPr>
        <w:t>¹ for bacteria; 7.9 μg g</w:t>
      </w:r>
      <w:r w:rsidRPr="0095148F">
        <w:rPr>
          <w:rFonts w:ascii="Cambria Math" w:hAnsi="Cambria Math" w:cs="Cambria Math"/>
        </w:rPr>
        <w:t>⁻</w:t>
      </w:r>
      <w:r w:rsidRPr="0095148F">
        <w:rPr>
          <w:rFonts w:ascii="Arial" w:hAnsi="Arial" w:cs="Arial"/>
        </w:rPr>
        <w:t>¹ for protists) than those of the biopesticides (pyrethrins: 43.0 μg g</w:t>
      </w:r>
      <w:r w:rsidRPr="0095148F">
        <w:rPr>
          <w:rFonts w:ascii="Cambria Math" w:hAnsi="Cambria Math" w:cs="Cambria Math"/>
        </w:rPr>
        <w:t>⁻</w:t>
      </w:r>
      <w:r w:rsidRPr="0095148F">
        <w:rPr>
          <w:rFonts w:ascii="Arial" w:hAnsi="Arial" w:cs="Arial"/>
        </w:rPr>
        <w:t>¹ for protists; dihydrochalcone: 45.8 μg g</w:t>
      </w:r>
      <w:r w:rsidRPr="0095148F">
        <w:rPr>
          <w:rFonts w:ascii="Cambria Math" w:hAnsi="Cambria Math" w:cs="Cambria Math"/>
        </w:rPr>
        <w:t>⁻</w:t>
      </w:r>
      <w:r w:rsidRPr="0095148F">
        <w:rPr>
          <w:rFonts w:ascii="Arial" w:hAnsi="Arial" w:cs="Arial"/>
        </w:rPr>
        <w:t>¹ for bacteria). This chapter provides a pioneering methodology for moving from qualitative community data into quantitative risk assessment, providing a novel framework for deriving ecologically relevant safety thresholds for soil microorganisms.</w:t>
      </w:r>
    </w:p>
    <w:p w14:paraId="725D96B4" w14:textId="09900823" w:rsidR="00BE52FD" w:rsidRPr="0095148F" w:rsidRDefault="00BE52FD" w:rsidP="0095148F">
      <w:pPr>
        <w:spacing w:line="276" w:lineRule="auto"/>
        <w:ind w:firstLine="720"/>
        <w:jc w:val="both"/>
        <w:rPr>
          <w:rFonts w:ascii="Arial" w:hAnsi="Arial" w:cs="Arial"/>
        </w:rPr>
      </w:pPr>
      <w:r w:rsidRPr="0095148F">
        <w:rPr>
          <w:rFonts w:ascii="Arial" w:hAnsi="Arial" w:cs="Arial"/>
        </w:rPr>
        <w:t>Finally, our study demonstrates that the current regulatory framework for pesticide ERA is inadequate for protecting soil microbial communities. We provide robust evidence that molecular tools are important for detecting the real impact of pesticides, including those of biological origin. Furthermore, we establish a novel paradigm by successfully applying the SSDs to amplicon sequencing data, thereby bridging a critical gap between modern microbial ecology and regulatory ecotoxicology. This work lays the foundation for the development of a more sensitive, relevant, and protective risk assessment strategy for soil ecosystems.</w:t>
      </w:r>
    </w:p>
    <w:sectPr w:rsidR="00BE52FD" w:rsidRPr="0095148F">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FDC8" w14:textId="77777777" w:rsidR="006C166B" w:rsidRDefault="006C166B" w:rsidP="00BE52FD">
      <w:pPr>
        <w:spacing w:after="0" w:line="240" w:lineRule="auto"/>
      </w:pPr>
      <w:r>
        <w:separator/>
      </w:r>
    </w:p>
  </w:endnote>
  <w:endnote w:type="continuationSeparator" w:id="0">
    <w:p w14:paraId="2732B94B" w14:textId="77777777" w:rsidR="006C166B" w:rsidRDefault="006C166B" w:rsidP="00BE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AD74" w14:textId="78CE0135" w:rsidR="00BE52FD" w:rsidRDefault="00BE52FD">
    <w:pPr>
      <w:pStyle w:val="Footer"/>
    </w:pPr>
    <w:r>
      <w:rPr>
        <w:noProof/>
      </w:rPr>
      <mc:AlternateContent>
        <mc:Choice Requires="wps">
          <w:drawing>
            <wp:anchor distT="0" distB="0" distL="0" distR="0" simplePos="0" relativeHeight="251659264" behindDoc="0" locked="0" layoutInCell="1" allowOverlap="1" wp14:anchorId="12113655" wp14:editId="2F39CA37">
              <wp:simplePos x="635" y="635"/>
              <wp:positionH relativeFrom="page">
                <wp:align>left</wp:align>
              </wp:positionH>
              <wp:positionV relativeFrom="page">
                <wp:align>bottom</wp:align>
              </wp:positionV>
              <wp:extent cx="906780" cy="387985"/>
              <wp:effectExtent l="0" t="0" r="7620" b="0"/>
              <wp:wrapNone/>
              <wp:docPr id="50910814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87985"/>
                      </a:xfrm>
                      <a:prstGeom prst="rect">
                        <a:avLst/>
                      </a:prstGeom>
                      <a:noFill/>
                      <a:ln>
                        <a:noFill/>
                      </a:ln>
                    </wps:spPr>
                    <wps:txbx>
                      <w:txbxContent>
                        <w:p w14:paraId="2487B47D" w14:textId="0523DA9C" w:rsidR="00BE52FD" w:rsidRPr="00BE52FD" w:rsidRDefault="00BE52FD" w:rsidP="00BE52FD">
                          <w:pPr>
                            <w:spacing w:after="0"/>
                            <w:rPr>
                              <w:rFonts w:ascii="Aptos" w:eastAsia="Aptos" w:hAnsi="Aptos" w:cs="Aptos"/>
                              <w:noProof/>
                              <w:color w:val="008000"/>
                              <w:sz w:val="22"/>
                              <w:szCs w:val="22"/>
                            </w:rPr>
                          </w:pPr>
                          <w:r w:rsidRPr="00BE52FD">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13655" id="_x0000_t202" coordsize="21600,21600" o:spt="202" path="m,l,21600r21600,l21600,xe">
              <v:stroke joinstyle="miter"/>
              <v:path gradientshapeok="t" o:connecttype="rect"/>
            </v:shapetype>
            <v:shape id="Text Box 2" o:spid="_x0000_s1026" type="#_x0000_t202" alt="[OFFICIAL]" style="position:absolute;margin-left:0;margin-top:0;width:71.4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" filled="f" stroked="f">
              <v:fill o:detectmouseclick="t"/>
              <v:textbox style="mso-fit-shape-to-text:t" inset="20pt,0,0,15pt">
                <w:txbxContent>
                  <w:p w14:paraId="2487B47D" w14:textId="0523DA9C" w:rsidR="00BE52FD" w:rsidRPr="00BE52FD" w:rsidRDefault="00BE52FD" w:rsidP="00BE52FD">
                    <w:pPr>
                      <w:spacing w:after="0"/>
                      <w:rPr>
                        <w:rFonts w:ascii="Aptos" w:eastAsia="Aptos" w:hAnsi="Aptos" w:cs="Aptos"/>
                        <w:noProof/>
                        <w:color w:val="008000"/>
                        <w:sz w:val="22"/>
                        <w:szCs w:val="22"/>
                      </w:rPr>
                    </w:pPr>
                    <w:r w:rsidRPr="00BE52FD">
                      <w:rPr>
                        <w:rFonts w:ascii="Aptos" w:eastAsia="Aptos" w:hAnsi="Aptos" w:cs="Aptos"/>
                        <w:noProof/>
                        <w:color w:val="008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FB64" w14:textId="056E39BC" w:rsidR="00BE52FD" w:rsidRDefault="00BE52FD">
    <w:pPr>
      <w:pStyle w:val="Footer"/>
    </w:pPr>
    <w:r>
      <w:rPr>
        <w:noProof/>
      </w:rPr>
      <mc:AlternateContent>
        <mc:Choice Requires="wps">
          <w:drawing>
            <wp:anchor distT="0" distB="0" distL="0" distR="0" simplePos="0" relativeHeight="251660288" behindDoc="0" locked="0" layoutInCell="1" allowOverlap="1" wp14:anchorId="70A99D63" wp14:editId="1E67238E">
              <wp:simplePos x="0" y="0"/>
              <wp:positionH relativeFrom="page">
                <wp:align>left</wp:align>
              </wp:positionH>
              <wp:positionV relativeFrom="page">
                <wp:align>bottom</wp:align>
              </wp:positionV>
              <wp:extent cx="906780" cy="387985"/>
              <wp:effectExtent l="0" t="0" r="7620" b="0"/>
              <wp:wrapNone/>
              <wp:docPr id="125832831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87985"/>
                      </a:xfrm>
                      <a:prstGeom prst="rect">
                        <a:avLst/>
                      </a:prstGeom>
                      <a:noFill/>
                      <a:ln>
                        <a:noFill/>
                      </a:ln>
                    </wps:spPr>
                    <wps:txbx>
                      <w:txbxContent>
                        <w:p w14:paraId="6834BAA7" w14:textId="49E997AC" w:rsidR="00BE52FD" w:rsidRPr="00BE52FD" w:rsidRDefault="00BE52FD" w:rsidP="00BE52FD">
                          <w:pPr>
                            <w:spacing w:after="0"/>
                            <w:rPr>
                              <w:rFonts w:ascii="Aptos" w:eastAsia="Aptos" w:hAnsi="Aptos" w:cs="Aptos"/>
                              <w:noProof/>
                              <w:color w:val="008000"/>
                              <w:sz w:val="22"/>
                              <w:szCs w:val="22"/>
                            </w:rPr>
                          </w:pPr>
                          <w:r w:rsidRPr="00BE52FD">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A99D63" id="_x0000_t202" coordsize="21600,21600" o:spt="202" path="m,l,21600r21600,l21600,xe">
              <v:stroke joinstyle="miter"/>
              <v:path gradientshapeok="t" o:connecttype="rect"/>
            </v:shapetype>
            <v:shape id="Text Box 3" o:spid="_x0000_s1027" type="#_x0000_t202" alt="[OFFICIAL]" style="position:absolute;margin-left:0;margin-top:0;width:71.4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" filled="f" stroked="f">
              <v:fill o:detectmouseclick="t"/>
              <v:textbox style="mso-fit-shape-to-text:t" inset="20pt,0,0,15pt">
                <w:txbxContent>
                  <w:p w14:paraId="6834BAA7" w14:textId="49E997AC" w:rsidR="00BE52FD" w:rsidRPr="00BE52FD" w:rsidRDefault="00BE52FD" w:rsidP="00BE52FD">
                    <w:pPr>
                      <w:spacing w:after="0"/>
                      <w:rPr>
                        <w:rFonts w:ascii="Aptos" w:eastAsia="Aptos" w:hAnsi="Aptos" w:cs="Aptos"/>
                        <w:noProof/>
                        <w:color w:val="008000"/>
                        <w:sz w:val="22"/>
                        <w:szCs w:val="22"/>
                      </w:rPr>
                    </w:pPr>
                    <w:r w:rsidRPr="00BE52FD">
                      <w:rPr>
                        <w:rFonts w:ascii="Aptos" w:eastAsia="Aptos" w:hAnsi="Aptos" w:cs="Aptos"/>
                        <w:noProof/>
                        <w:color w:val="008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0410" w14:textId="39CEE643" w:rsidR="00BE52FD" w:rsidRDefault="00BE52FD">
    <w:pPr>
      <w:pStyle w:val="Footer"/>
    </w:pPr>
    <w:r>
      <w:rPr>
        <w:noProof/>
      </w:rPr>
      <mc:AlternateContent>
        <mc:Choice Requires="wps">
          <w:drawing>
            <wp:anchor distT="0" distB="0" distL="0" distR="0" simplePos="0" relativeHeight="251658240" behindDoc="0" locked="0" layoutInCell="1" allowOverlap="1" wp14:anchorId="5164758D" wp14:editId="288E6F0F">
              <wp:simplePos x="635" y="635"/>
              <wp:positionH relativeFrom="page">
                <wp:align>left</wp:align>
              </wp:positionH>
              <wp:positionV relativeFrom="page">
                <wp:align>bottom</wp:align>
              </wp:positionV>
              <wp:extent cx="906780" cy="387985"/>
              <wp:effectExtent l="0" t="0" r="7620" b="0"/>
              <wp:wrapNone/>
              <wp:docPr id="100851253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87985"/>
                      </a:xfrm>
                      <a:prstGeom prst="rect">
                        <a:avLst/>
                      </a:prstGeom>
                      <a:noFill/>
                      <a:ln>
                        <a:noFill/>
                      </a:ln>
                    </wps:spPr>
                    <wps:txbx>
                      <w:txbxContent>
                        <w:p w14:paraId="3EAB7FA0" w14:textId="544BE3DB" w:rsidR="00BE52FD" w:rsidRPr="00BE52FD" w:rsidRDefault="00BE52FD" w:rsidP="00BE52FD">
                          <w:pPr>
                            <w:spacing w:after="0"/>
                            <w:rPr>
                              <w:rFonts w:ascii="Aptos" w:eastAsia="Aptos" w:hAnsi="Aptos" w:cs="Aptos"/>
                              <w:noProof/>
                              <w:color w:val="008000"/>
                              <w:sz w:val="22"/>
                              <w:szCs w:val="22"/>
                            </w:rPr>
                          </w:pPr>
                          <w:r w:rsidRPr="00BE52FD">
                            <w:rPr>
                              <w:rFonts w:ascii="Aptos" w:eastAsia="Aptos" w:hAnsi="Aptos" w:cs="Aptos"/>
                              <w:noProof/>
                              <w:color w:val="008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64758D" id="_x0000_t202" coordsize="21600,21600" o:spt="202" path="m,l,21600r21600,l21600,xe">
              <v:stroke joinstyle="miter"/>
              <v:path gradientshapeok="t" o:connecttype="rect"/>
            </v:shapetype>
            <v:shape id="Text Box 1" o:spid="_x0000_s1028" type="#_x0000_t202" alt="[OFFICIAL]" style="position:absolute;margin-left:0;margin-top:0;width:71.4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" filled="f" stroked="f">
              <v:fill o:detectmouseclick="t"/>
              <v:textbox style="mso-fit-shape-to-text:t" inset="20pt,0,0,15pt">
                <w:txbxContent>
                  <w:p w14:paraId="3EAB7FA0" w14:textId="544BE3DB" w:rsidR="00BE52FD" w:rsidRPr="00BE52FD" w:rsidRDefault="00BE52FD" w:rsidP="00BE52FD">
                    <w:pPr>
                      <w:spacing w:after="0"/>
                      <w:rPr>
                        <w:rFonts w:ascii="Aptos" w:eastAsia="Aptos" w:hAnsi="Aptos" w:cs="Aptos"/>
                        <w:noProof/>
                        <w:color w:val="008000"/>
                        <w:sz w:val="22"/>
                        <w:szCs w:val="22"/>
                      </w:rPr>
                    </w:pPr>
                    <w:r w:rsidRPr="00BE52FD">
                      <w:rPr>
                        <w:rFonts w:ascii="Aptos" w:eastAsia="Aptos" w:hAnsi="Aptos" w:cs="Aptos"/>
                        <w:noProof/>
                        <w:color w:val="008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A1E2" w14:textId="77777777" w:rsidR="006C166B" w:rsidRDefault="006C166B" w:rsidP="00BE52FD">
      <w:pPr>
        <w:spacing w:after="0" w:line="240" w:lineRule="auto"/>
      </w:pPr>
      <w:r>
        <w:separator/>
      </w:r>
    </w:p>
  </w:footnote>
  <w:footnote w:type="continuationSeparator" w:id="0">
    <w:p w14:paraId="210833AB" w14:textId="77777777" w:rsidR="006C166B" w:rsidRDefault="006C166B" w:rsidP="00BE5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FD"/>
    <w:rsid w:val="00082CF3"/>
    <w:rsid w:val="000B6293"/>
    <w:rsid w:val="004142E2"/>
    <w:rsid w:val="006C166B"/>
    <w:rsid w:val="00820A7F"/>
    <w:rsid w:val="0095148F"/>
    <w:rsid w:val="00AF192D"/>
    <w:rsid w:val="00BE52FD"/>
    <w:rsid w:val="00D709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AB807AA"/>
  <w15:chartTrackingRefBased/>
  <w15:docId w15:val="{5539814B-36B5-244C-89CE-41D534A7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2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2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2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2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2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2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2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FD"/>
    <w:rPr>
      <w:rFonts w:eastAsiaTheme="majorEastAsia" w:cstheme="majorBidi"/>
      <w:color w:val="272727" w:themeColor="text1" w:themeTint="D8"/>
    </w:rPr>
  </w:style>
  <w:style w:type="paragraph" w:styleId="Title">
    <w:name w:val="Title"/>
    <w:basedOn w:val="Normal"/>
    <w:next w:val="Normal"/>
    <w:link w:val="TitleChar"/>
    <w:uiPriority w:val="10"/>
    <w:qFormat/>
    <w:rsid w:val="00BE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FD"/>
    <w:pPr>
      <w:spacing w:before="160"/>
      <w:jc w:val="center"/>
    </w:pPr>
    <w:rPr>
      <w:i/>
      <w:iCs/>
      <w:color w:val="404040" w:themeColor="text1" w:themeTint="BF"/>
    </w:rPr>
  </w:style>
  <w:style w:type="character" w:customStyle="1" w:styleId="QuoteChar">
    <w:name w:val="Quote Char"/>
    <w:basedOn w:val="DefaultParagraphFont"/>
    <w:link w:val="Quote"/>
    <w:uiPriority w:val="29"/>
    <w:rsid w:val="00BE52FD"/>
    <w:rPr>
      <w:i/>
      <w:iCs/>
      <w:color w:val="404040" w:themeColor="text1" w:themeTint="BF"/>
    </w:rPr>
  </w:style>
  <w:style w:type="paragraph" w:styleId="ListParagraph">
    <w:name w:val="List Paragraph"/>
    <w:basedOn w:val="Normal"/>
    <w:uiPriority w:val="34"/>
    <w:qFormat/>
    <w:rsid w:val="00BE52FD"/>
    <w:pPr>
      <w:ind w:left="720"/>
      <w:contextualSpacing/>
    </w:pPr>
  </w:style>
  <w:style w:type="character" w:styleId="IntenseEmphasis">
    <w:name w:val="Intense Emphasis"/>
    <w:basedOn w:val="DefaultParagraphFont"/>
    <w:uiPriority w:val="21"/>
    <w:qFormat/>
    <w:rsid w:val="00BE52FD"/>
    <w:rPr>
      <w:i/>
      <w:iCs/>
      <w:color w:val="0F4761" w:themeColor="accent1" w:themeShade="BF"/>
    </w:rPr>
  </w:style>
  <w:style w:type="paragraph" w:styleId="IntenseQuote">
    <w:name w:val="Intense Quote"/>
    <w:basedOn w:val="Normal"/>
    <w:next w:val="Normal"/>
    <w:link w:val="IntenseQuoteChar"/>
    <w:uiPriority w:val="30"/>
    <w:qFormat/>
    <w:rsid w:val="00BE5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2FD"/>
    <w:rPr>
      <w:i/>
      <w:iCs/>
      <w:color w:val="0F4761" w:themeColor="accent1" w:themeShade="BF"/>
    </w:rPr>
  </w:style>
  <w:style w:type="character" w:styleId="IntenseReference">
    <w:name w:val="Intense Reference"/>
    <w:basedOn w:val="DefaultParagraphFont"/>
    <w:uiPriority w:val="32"/>
    <w:qFormat/>
    <w:rsid w:val="00BE52FD"/>
    <w:rPr>
      <w:b/>
      <w:bCs/>
      <w:smallCaps/>
      <w:color w:val="0F4761" w:themeColor="accent1" w:themeShade="BF"/>
      <w:spacing w:val="5"/>
    </w:rPr>
  </w:style>
  <w:style w:type="paragraph" w:styleId="Footer">
    <w:name w:val="footer"/>
    <w:basedOn w:val="Normal"/>
    <w:link w:val="FooterChar"/>
    <w:uiPriority w:val="99"/>
    <w:unhideWhenUsed/>
    <w:rsid w:val="00BE5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904</Words>
  <Characters>5669</Characters>
  <Application>Microsoft Office Word</Application>
  <DocSecurity>0</DocSecurity>
  <Lines>83</Lines>
  <Paragraphs>8</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Pedrinho</dc:creator>
  <cp:keywords/>
  <dc:description/>
  <cp:lastModifiedBy>Alexandre Pedrinho</cp:lastModifiedBy>
  <cp:revision>4</cp:revision>
  <dcterms:created xsi:type="dcterms:W3CDTF">2026-01-14T17:23:00Z</dcterms:created>
  <dcterms:modified xsi:type="dcterms:W3CDTF">2026-01-14T17:37:00Z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3c1cae13,1e585fb1,4b0090f8</vt:lpwstr>
  </property>
  <property fmtid="{D5CDD505-2E9C-101B-9397-08002B2CF9AE}" pid="3" name="ClassificationContentMarkingFooterFontProps">
    <vt:lpwstr>#008000,11,Aptos</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2026-01-14T17:32:09Z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755c6fe4-2b93-434d-b1e0-cedc06ca98b0</vt:lpwstr>
  </property>
  <property fmtid="{D5CDD505-2E9C-101B-9397-08002B2CF9AE}" pid="11" name="MSIP_Label_374f931c-4856-410e-abf2-8a4d5c5dd217_ContentBits">
    <vt:lpwstr>2</vt:lpwstr>
  </property>
  <property fmtid="{D5CDD505-2E9C-101B-9397-08002B2CF9AE}" pid="12" name="MSIP_Label_374f931c-4856-410e-abf2-8a4d5c5dd217_Tag">
    <vt:lpwstr>50, 3, 0, 1</vt:lpwstr>
  </property>
</Properties>
</file>