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B83E5" w14:textId="77777777" w:rsidR="00C81724" w:rsidRPr="00257B9E" w:rsidRDefault="00C81724" w:rsidP="00C81724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bookmarkStart w:id="0" w:name="_Toc189923099"/>
      <w:bookmarkStart w:id="1" w:name="_GoBack"/>
      <w:bookmarkEnd w:id="1"/>
      <w:r w:rsidRPr="00257B9E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Abstract</w:t>
      </w:r>
      <w:bookmarkEnd w:id="0"/>
    </w:p>
    <w:p w14:paraId="352FA269" w14:textId="77777777" w:rsidR="00C81724" w:rsidRPr="00427F8E" w:rsidRDefault="00C81724" w:rsidP="00C8172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5C26">
        <w:rPr>
          <w:rFonts w:ascii="Times New Roman" w:hAnsi="Times New Roman" w:cs="Times New Roman"/>
          <w:sz w:val="24"/>
          <w:szCs w:val="24"/>
          <w:lang w:val="en-US"/>
        </w:rPr>
        <w:t>Organisms are exposed to various stress conditions throughout their lifespan. To</w:t>
      </w:r>
      <w:r w:rsidRPr="00C25362">
        <w:rPr>
          <w:lang w:val="en-US"/>
        </w:rPr>
        <w:t xml:space="preserve">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maintain their proteome integrity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the cells have developed a highly conserved network, namely the </w:t>
      </w:r>
      <w:proofErr w:type="spellStart"/>
      <w:r w:rsidRPr="00427F8E">
        <w:rPr>
          <w:rFonts w:ascii="Times New Roman" w:hAnsi="Times New Roman" w:cs="Times New Roman"/>
          <w:sz w:val="24"/>
          <w:szCs w:val="24"/>
          <w:lang w:val="en-US"/>
        </w:rPr>
        <w:t>Proteostasis</w:t>
      </w:r>
      <w:proofErr w:type="spellEnd"/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Network (PN).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PN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mechanisms are </w:t>
      </w:r>
      <w:r>
        <w:rPr>
          <w:rFonts w:ascii="Times New Roman" w:hAnsi="Times New Roman" w:cs="Times New Roman"/>
          <w:sz w:val="24"/>
          <w:szCs w:val="24"/>
          <w:lang w:val="en-US"/>
        </w:rPr>
        <w:t>responsible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protein quality control, under normal and stress conditions, from synthesis to folding and degradation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 latter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is mediated mainly through the ubiquitin-proteasome system (UPS) and the autophagy lysosomal pathway (ALP). </w:t>
      </w:r>
      <w:r w:rsidRPr="00771DAE">
        <w:rPr>
          <w:rFonts w:ascii="Times New Roman" w:hAnsi="Times New Roman" w:cs="Times New Roman"/>
          <w:sz w:val="24"/>
          <w:szCs w:val="24"/>
          <w:lang w:val="en-US"/>
        </w:rPr>
        <w:t xml:space="preserve">Deregulation of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PN is considered as one of the hallmarks of aging. Impaired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proteostasis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balance upon aging </w:t>
      </w:r>
      <w:r w:rsidRPr="00771DAE">
        <w:rPr>
          <w:rFonts w:ascii="Times New Roman" w:hAnsi="Times New Roman" w:cs="Times New Roman"/>
          <w:sz w:val="24"/>
          <w:szCs w:val="24"/>
          <w:lang w:val="en-US"/>
        </w:rPr>
        <w:t xml:space="preserve">leads to the accumulation of misfolded proteins and aggregates, contributing to the onset and progression of </w:t>
      </w:r>
      <w:proofErr w:type="spellStart"/>
      <w:r w:rsidRPr="00771DAE">
        <w:rPr>
          <w:rFonts w:ascii="Times New Roman" w:hAnsi="Times New Roman" w:cs="Times New Roman"/>
          <w:sz w:val="24"/>
          <w:szCs w:val="24"/>
          <w:lang w:val="en-US"/>
        </w:rPr>
        <w:t>proteinopathies</w:t>
      </w:r>
      <w:proofErr w:type="spellEnd"/>
      <w:r w:rsidRPr="00771DA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Recent studies suggest that the PN regulation is subjected to both cell-autonomous and cell non-autonomous levels. Given that tissues are not affected equally by endogenous and external stress factors, tissue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communication under adverse conditions through cell non-autonomous signaling pathways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crucial for the quality of the proteome. The elucidation of the mechanisms underlying the cell non-autonomous regulation of the PN, may provide new approaches to the regulation of </w:t>
      </w:r>
      <w:proofErr w:type="spellStart"/>
      <w:r w:rsidRPr="00427F8E">
        <w:rPr>
          <w:rFonts w:ascii="Times New Roman" w:hAnsi="Times New Roman" w:cs="Times New Roman"/>
          <w:sz w:val="24"/>
          <w:szCs w:val="24"/>
          <w:lang w:val="en-US"/>
        </w:rPr>
        <w:t>proteostasis</w:t>
      </w:r>
      <w:proofErr w:type="spellEnd"/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, including the potential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improvement of </w:t>
      </w:r>
      <w:proofErr w:type="spellStart"/>
      <w:r w:rsidRPr="00427F8E">
        <w:rPr>
          <w:rFonts w:ascii="Times New Roman" w:hAnsi="Times New Roman" w:cs="Times New Roman"/>
          <w:sz w:val="24"/>
          <w:szCs w:val="24"/>
          <w:lang w:val="en-US"/>
        </w:rPr>
        <w:t>proteostasis</w:t>
      </w:r>
      <w:proofErr w:type="spellEnd"/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by targeting only a small number of cells to alleviate the effects of aging and age-related diseases.</w:t>
      </w:r>
    </w:p>
    <w:p w14:paraId="7F767526" w14:textId="77777777" w:rsidR="00C81724" w:rsidRPr="00427F8E" w:rsidRDefault="00C81724" w:rsidP="00C8172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The proteasome is considered as a potent antiaging target </w:t>
      </w:r>
      <w:r>
        <w:rPr>
          <w:rFonts w:ascii="Times New Roman" w:hAnsi="Times New Roman" w:cs="Times New Roman"/>
          <w:sz w:val="24"/>
          <w:szCs w:val="24"/>
          <w:lang w:val="en-US"/>
        </w:rPr>
        <w:t>since various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studies support that its increased activity results in </w:t>
      </w:r>
      <w:r>
        <w:rPr>
          <w:rFonts w:ascii="Times New Roman" w:hAnsi="Times New Roman" w:cs="Times New Roman"/>
          <w:sz w:val="24"/>
          <w:szCs w:val="24"/>
          <w:lang w:val="en-GB"/>
        </w:rPr>
        <w:t>enhanced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lifespan in cell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and multicellular organisms such as the nematode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Caenorhabditis elegans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C. elegans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) and the fly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Drosophila melanogaster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D. melanogaster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). Moreover, the role of the proteasome appears to be important in age-related pathological conditions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such 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proteinopathies</w:t>
      </w:r>
      <w:proofErr w:type="spellEnd"/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Alzheimer's disease (AD)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by preventing the formation of protein aggregates, a phenomenon that characterizes these disorders. However, the mechanisms through which the proteasome activation affect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lifespan and aggregation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related pathologies have not been fully elucidated. </w:t>
      </w:r>
      <w:r>
        <w:rPr>
          <w:rFonts w:ascii="Times New Roman" w:hAnsi="Times New Roman" w:cs="Times New Roman"/>
          <w:sz w:val="24"/>
          <w:szCs w:val="24"/>
          <w:lang w:val="en-US"/>
        </w:rPr>
        <w:t>More importantly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, despite the highly important role of the proteasome in the PN, its potential cell non-autonomous regulation has </w:t>
      </w:r>
      <w:r>
        <w:rPr>
          <w:rFonts w:ascii="Times New Roman" w:hAnsi="Times New Roman" w:cs="Times New Roman"/>
          <w:sz w:val="24"/>
          <w:szCs w:val="24"/>
          <w:lang w:val="en-US"/>
        </w:rPr>
        <w:t>never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been studied.</w:t>
      </w:r>
    </w:p>
    <w:p w14:paraId="7E793F4B" w14:textId="77777777" w:rsidR="00C81724" w:rsidRPr="00CA2F0A" w:rsidRDefault="00C81724" w:rsidP="00C8172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The main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proteasome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complex is the "20S core"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composed of four rings of seven different α (</w:t>
      </w:r>
      <w:r w:rsidRPr="00427F8E">
        <w:rPr>
          <w:rFonts w:ascii="Times New Roman" w:hAnsi="Times New Roman" w:cs="Times New Roman"/>
          <w:sz w:val="24"/>
          <w:szCs w:val="24"/>
        </w:rPr>
        <w:t>α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1-7, outer rings) and seven different β (</w:t>
      </w:r>
      <w:r w:rsidRPr="00427F8E">
        <w:rPr>
          <w:rFonts w:ascii="Times New Roman" w:hAnsi="Times New Roman" w:cs="Times New Roman"/>
          <w:sz w:val="24"/>
          <w:szCs w:val="24"/>
        </w:rPr>
        <w:t>β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1-7, inner rings) subunits. The two inner rings exert proteolysis through β1 (caspase-like/ C-L), β2 (trypsin-like/ T-L) and β5 (chymotrypsin-like/ CT-L) subunits. </w:t>
      </w:r>
      <w:r>
        <w:rPr>
          <w:rFonts w:ascii="Times New Roman" w:hAnsi="Times New Roman" w:cs="Times New Roman"/>
          <w:sz w:val="24"/>
          <w:szCs w:val="24"/>
          <w:lang w:val="en-US"/>
        </w:rPr>
        <w:t>We have previously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revealed that overexpression of the </w:t>
      </w:r>
      <w:r w:rsidRPr="00427F8E">
        <w:rPr>
          <w:rFonts w:ascii="Times New Roman" w:hAnsi="Times New Roman" w:cs="Times New Roman"/>
          <w:sz w:val="24"/>
          <w:szCs w:val="24"/>
        </w:rPr>
        <w:t>β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5 proteasom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subunit in all tissues of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C. elegans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is sufficient to enhance the proteasome activity which in turn leads to lifespan extension and confers resistance to oxidative and proteotoxic stress.</w:t>
      </w:r>
    </w:p>
    <w:p w14:paraId="0C7E1044" w14:textId="77777777" w:rsidR="00C81724" w:rsidRPr="00427F8E" w:rsidRDefault="00C81724" w:rsidP="00C8172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o investigate the potent cell non-autonomous regulation of the proteasome, we generated transgenic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C. elegans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strains that overexpress the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27F8E">
        <w:rPr>
          <w:rFonts w:ascii="Times New Roman" w:hAnsi="Times New Roman" w:cs="Times New Roman"/>
          <w:sz w:val="24"/>
          <w:szCs w:val="24"/>
        </w:rPr>
        <w:t>β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5 ortholog in the nematode) gene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a tissue specific manner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in the neurons (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pbs-5-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neurons), the intestine (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-inestine) and the muscles (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-muscles), and we studied the effect of this expression on proteasome activity in distal tissues. Furthermore, we investigated the effects of tissue-specific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overexpression on lifespan and resistance to oxidative and proteotoxic stress.</w:t>
      </w:r>
    </w:p>
    <w:p w14:paraId="5B42C975" w14:textId="77777777" w:rsidR="00C81724" w:rsidRPr="00427F8E" w:rsidRDefault="00C81724" w:rsidP="00C8172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F8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Our results reveal that the activation of the proteasome in a single tissue can affect </w:t>
      </w:r>
      <w:proofErr w:type="spellStart"/>
      <w:r w:rsidRPr="00427F8E">
        <w:rPr>
          <w:rFonts w:ascii="Times New Roman" w:hAnsi="Times New Roman" w:cs="Times New Roman"/>
          <w:sz w:val="24"/>
          <w:szCs w:val="24"/>
          <w:lang w:val="en-US"/>
        </w:rPr>
        <w:t>proteostasis</w:t>
      </w:r>
      <w:proofErr w:type="spellEnd"/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n distal tissues in </w:t>
      </w:r>
      <w:r>
        <w:rPr>
          <w:rFonts w:ascii="Times New Roman" w:hAnsi="Times New Roman" w:cs="Times New Roman"/>
          <w:sz w:val="24"/>
          <w:szCs w:val="24"/>
          <w:lang w:val="en-US"/>
        </w:rPr>
        <w:t>the nematode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. More specifically, tissue-specific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overexpression in the neurons or in the intestine can enhance the proteasome activity in the muscles, revealing for the first time the cell non-autonomous proteasome regulation. Furthermore, we show that this cell non-autonomous regulation is sufficient to prevent the proteotoxic effects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amyloid-β (Aβ) peptide (a peptide strongly correlated with AD)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n the muscles of </w:t>
      </w:r>
      <w:r>
        <w:rPr>
          <w:rFonts w:ascii="Times New Roman" w:hAnsi="Times New Roman" w:cs="Times New Roman"/>
          <w:sz w:val="24"/>
          <w:szCs w:val="24"/>
          <w:lang w:val="en-US"/>
        </w:rPr>
        <w:t>nematode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models for AD. We also observed that muscle-specific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overexpression can cell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autonomously enhance the proteasome activity and resistance to the A</w:t>
      </w:r>
      <w:r w:rsidRPr="00427F8E">
        <w:rPr>
          <w:rFonts w:ascii="Times New Roman" w:hAnsi="Times New Roman" w:cs="Times New Roman"/>
          <w:sz w:val="24"/>
          <w:szCs w:val="24"/>
        </w:rPr>
        <w:t>β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-mediated proteotoxicity in the same tissue (muscles). Likewise, cell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autonomous resistance to A</w:t>
      </w:r>
      <w:r w:rsidRPr="00427F8E">
        <w:rPr>
          <w:rFonts w:ascii="Times New Roman" w:hAnsi="Times New Roman" w:cs="Times New Roman"/>
          <w:sz w:val="24"/>
          <w:szCs w:val="24"/>
        </w:rPr>
        <w:t>β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proteotoxicity is also observed in strains that overexpress the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gene and the </w:t>
      </w:r>
      <w:r w:rsidRPr="00427F8E">
        <w:rPr>
          <w:rFonts w:ascii="Times New Roman" w:hAnsi="Times New Roman" w:cs="Times New Roman"/>
          <w:sz w:val="24"/>
          <w:szCs w:val="24"/>
        </w:rPr>
        <w:t>Αβ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peptide in neurons.</w:t>
      </w:r>
    </w:p>
    <w:p w14:paraId="2C3775A8" w14:textId="77777777" w:rsidR="00C81724" w:rsidRPr="00427F8E" w:rsidRDefault="00C81724" w:rsidP="00C8172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In respect to the effects of tissue-specific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overexpression on lifespan, we observed that the overexpression of the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gene only in the intestine or in the muscles of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C. elegans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is not sufficient to enhance the lifespan of the nematode. </w:t>
      </w:r>
      <w:r>
        <w:rPr>
          <w:rFonts w:ascii="Times New Roman" w:hAnsi="Times New Roman" w:cs="Times New Roman"/>
          <w:sz w:val="24"/>
          <w:szCs w:val="24"/>
          <w:lang w:val="en-US"/>
        </w:rPr>
        <w:t>In contrast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overexpression in the neurons of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C. elegans,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maintains the levels of phenotypic characteristics related to the </w:t>
      </w:r>
      <w:proofErr w:type="spellStart"/>
      <w:r w:rsidRPr="00427F8E">
        <w:rPr>
          <w:rFonts w:ascii="Times New Roman" w:hAnsi="Times New Roman" w:cs="Times New Roman"/>
          <w:sz w:val="24"/>
          <w:szCs w:val="24"/>
          <w:lang w:val="en-US"/>
        </w:rPr>
        <w:t>healthspan</w:t>
      </w:r>
      <w:proofErr w:type="spellEnd"/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of the animal and leads to lifespan extension. </w:t>
      </w:r>
      <w:r>
        <w:rPr>
          <w:rFonts w:ascii="Times New Roman" w:hAnsi="Times New Roman" w:cs="Times New Roman"/>
          <w:sz w:val="24"/>
          <w:szCs w:val="24"/>
          <w:lang w:val="en-US"/>
        </w:rPr>
        <w:t>Nevertheless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, the enhancement of life expectancy does not seem to be related to enhanced antioxidant protection, since no resistance to oxidative stress was observed.</w:t>
      </w:r>
    </w:p>
    <w:p w14:paraId="66A973F0" w14:textId="77777777" w:rsidR="00C81724" w:rsidRPr="00427F8E" w:rsidRDefault="00C81724" w:rsidP="00C8172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F8E">
        <w:rPr>
          <w:rFonts w:ascii="Times New Roman" w:hAnsi="Times New Roman" w:cs="Times New Roman"/>
          <w:sz w:val="24"/>
          <w:szCs w:val="24"/>
          <w:lang w:val="en-US"/>
        </w:rPr>
        <w:t>Final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y, we further investigated the mechanisms underlying the cell non-autonomous regulation of the proteasome between neurons and muscles. We provide evidence that this interconnection occurs via a specific type of synaptic vesicles, the small clear vesicles (SCVs) and we identified glutamate as at least one of the responsible neurotransmitters.</w:t>
      </w:r>
    </w:p>
    <w:p w14:paraId="0DD1AA16" w14:textId="77777777" w:rsidR="00C81724" w:rsidRPr="00427F8E" w:rsidRDefault="00C81724" w:rsidP="00C8172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Our results confirm the hypothesis of cell non-autonomous regulation of the proteasome. The effects of tissue-specific proteasome overexpression in distal tissues, may provide important knowledge for the design of interventions that target tissue-specific </w:t>
      </w:r>
      <w:r>
        <w:rPr>
          <w:rFonts w:ascii="Times New Roman" w:hAnsi="Times New Roman" w:cs="Times New Roman"/>
          <w:sz w:val="24"/>
          <w:szCs w:val="24"/>
          <w:lang w:val="en-US"/>
        </w:rPr>
        <w:t>manipulation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of proteasome activity.</w:t>
      </w:r>
    </w:p>
    <w:p w14:paraId="3F76D70C" w14:textId="77777777" w:rsidR="00C81724" w:rsidRPr="008116E2" w:rsidRDefault="00C81724" w:rsidP="00C81724">
      <w:pPr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14:paraId="04E5497E" w14:textId="3EFC7627" w:rsidR="003F35DC" w:rsidRPr="003D068F" w:rsidRDefault="003F35DC">
      <w:pPr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sectPr w:rsidR="003F35DC" w:rsidRPr="003D06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24"/>
    <w:rsid w:val="003D068F"/>
    <w:rsid w:val="003F35DC"/>
    <w:rsid w:val="00593423"/>
    <w:rsid w:val="008A5FEE"/>
    <w:rsid w:val="00BA1B89"/>
    <w:rsid w:val="00C81724"/>
    <w:rsid w:val="00F4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DFD9"/>
  <w15:chartTrackingRefBased/>
  <w15:docId w15:val="{B107579E-107F-4299-9CAE-B626C6F4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724"/>
  </w:style>
  <w:style w:type="paragraph" w:styleId="1">
    <w:name w:val="heading 1"/>
    <w:basedOn w:val="a"/>
    <w:next w:val="a"/>
    <w:link w:val="1Char"/>
    <w:uiPriority w:val="9"/>
    <w:qFormat/>
    <w:rsid w:val="00C81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1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1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1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1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1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1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1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1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81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81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81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8172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8172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817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8172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817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817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81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81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81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81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81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817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817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8172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81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C8172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81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Panagiotidou</dc:creator>
  <cp:keywords/>
  <dc:description/>
  <cp:lastModifiedBy>user</cp:lastModifiedBy>
  <cp:revision>3</cp:revision>
  <dcterms:created xsi:type="dcterms:W3CDTF">2026-03-30T09:36:00Z</dcterms:created>
  <dcterms:modified xsi:type="dcterms:W3CDTF">2026-03-30T09:36:00Z</dcterms:modified>
</cp:coreProperties>
</file>