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pPr>
      <w:r w:rsidDel="00000000" w:rsidR="00000000" w:rsidRPr="00000000">
        <w:rPr>
          <w:rtl w:val="0"/>
        </w:rPr>
        <w:t xml:space="preserve">Τα Μακρά Μη-Κωδικά RNA (lncRNAs) είναι μετάγραφα μήκους άνω των 200 νουκλεοτιδίων που δεν μεταφράζονται σε πρωτεΐνη. Παρουσιάζουν κοινά χαρακτηριστικά με τα αγγελιοφόρα RNA (mRNA), όπως το μάτισμα, τη πολυαδενυλίωση του 3’ άκρου και την προσθήκη 5’ καλύπτρας. Παρόλα αυτά, σε πολλές περιπτώσεις δεν είναι εξελικτικά συντηρημένα και εμφανίζουν ιστοειδική έκφραση. Τα lncRNAs έχουν φανεί να εμπλέκονται στη ρύθμιση πολλών βιολογικών φαινομένων και σηματοδοτικών μονοπατιών, ενώ η απορρύθμιση τους έχει συνδεθεί με νοσήματα, συμπεριλαμβανομένου του καρκίνου.</w:t>
      </w:r>
    </w:p>
    <w:p w:rsidR="00000000" w:rsidDel="00000000" w:rsidP="00000000" w:rsidRDefault="00000000" w:rsidRPr="00000000" w14:paraId="00000002">
      <w:pPr>
        <w:ind w:firstLine="720"/>
        <w:jc w:val="both"/>
        <w:rPr/>
      </w:pPr>
      <w:r w:rsidDel="00000000" w:rsidR="00000000" w:rsidRPr="00000000">
        <w:rPr>
          <w:rtl w:val="0"/>
        </w:rPr>
        <w:t xml:space="preserve">Το σηματοδοτικό μονοπάτι Wnt/β-κατενίνη αποτελεί βασικό ρυθμιστή της ομοιόστασης των βλαστοκυττάρων του εντερικού επιθηλίου και της ικανότητας του να αναγεννάται, καθώς ενορχηστρώνει την έκφραση πολλών σχετικών γονιδίων-στόχων. Η συνεχής ενεργοποίηση του μονοπατιού, εξαιτίας μεταλλάξεων που σταθεροποιούν την β-κατενίνη, αποτελεί μια από τις κυρίαρχες αιτίες της καρκινογένεσης του παχέος εντέρου (CRC). Έχει διαπιστωθεί πως πολλά lncRNAs ρυθμίζουν το μονοπάτι Wnt, επηρεάζοντας το μοριακό του αποτύπωμα και ρυθμίζοντας τελικά την καρκινογένεση.</w:t>
      </w:r>
    </w:p>
    <w:p w:rsidR="00000000" w:rsidDel="00000000" w:rsidP="00000000" w:rsidRDefault="00000000" w:rsidRPr="00000000" w14:paraId="00000003">
      <w:pPr>
        <w:ind w:firstLine="720"/>
        <w:jc w:val="both"/>
        <w:rPr/>
      </w:pPr>
      <w:r w:rsidDel="00000000" w:rsidR="00000000" w:rsidRPr="00000000">
        <w:rPr>
          <w:rtl w:val="0"/>
        </w:rPr>
        <w:t xml:space="preserve">Παρόλο που τα lncRNAs χαρακτηρίζονται ως μη κωδικά, πρόσφατες μελέτες ανέδειξαν την παρουσία μικρών πλαισίων ανάγνωσης (smORFs) σε γενετικούς τόπους ορισμένων γονιδίων-lncRNA (lncORFs) τα οποία μεταφράζονται σε μικροπρωτεΐνες. Αυτές οι μικροπρωτεΐνες αποτελούν μια νέα κλάση βιομορίων με σημαντικό ρόλο σε πολλαπλές βιολογικές και μοριακές λειτουργίες.</w:t>
      </w:r>
    </w:p>
    <w:p w:rsidR="00000000" w:rsidDel="00000000" w:rsidP="00000000" w:rsidRDefault="00000000" w:rsidRPr="00000000" w14:paraId="00000004">
      <w:pPr>
        <w:ind w:firstLine="720"/>
        <w:jc w:val="both"/>
        <w:rPr>
          <w:b w:val="1"/>
        </w:rPr>
      </w:pPr>
      <w:r w:rsidDel="00000000" w:rsidR="00000000" w:rsidRPr="00000000">
        <w:rPr>
          <w:rtl w:val="0"/>
        </w:rPr>
        <w:t xml:space="preserve">Στο πρώτο μέρος της παρούσας διατριβής, ταυτοποιήσαμε το </w:t>
      </w:r>
      <w:r w:rsidDel="00000000" w:rsidR="00000000" w:rsidRPr="00000000">
        <w:rPr>
          <w:i w:val="1"/>
          <w:rtl w:val="0"/>
        </w:rPr>
        <w:t xml:space="preserve">LINC01133</w:t>
      </w:r>
      <w:r w:rsidDel="00000000" w:rsidR="00000000" w:rsidRPr="00000000">
        <w:rPr>
          <w:rtl w:val="0"/>
        </w:rPr>
        <w:t xml:space="preserve"> (</w:t>
      </w:r>
      <w:r w:rsidDel="00000000" w:rsidR="00000000" w:rsidRPr="00000000">
        <w:rPr>
          <w:i w:val="1"/>
          <w:rtl w:val="0"/>
        </w:rPr>
        <w:t xml:space="preserve">lnc-IGSF9</w:t>
      </w:r>
      <w:r w:rsidDel="00000000" w:rsidR="00000000" w:rsidRPr="00000000">
        <w:rPr>
          <w:rtl w:val="0"/>
        </w:rPr>
        <w:t xml:space="preserve">) ως ένα πυρηνικό lncRNA του οποίου ο γενετικός τόπος περιέχει θέσεις πρόσδεσης από το σύμπλοκο β-κατενίνη/TCF4 και η έκφραση του ρυθμίζεται αρνητικά από το μονοπάτι Wnt. Η υπερέκφραση του μέσω CRISPR-a φανέρωσε ότι το μετάγραφο lnc-IGSF9 μειώνει τον πολλαπλασιασμό και προάγει τη διαφοροποίηση των CRC,  ενώ αναστέλλει την ενεργοποίηση του μονοπατιού Wnt. Ανακαλύψαμε ότι το lnc-IGSF9 δρα </w:t>
      </w:r>
      <w:r w:rsidDel="00000000" w:rsidR="00000000" w:rsidRPr="00000000">
        <w:rPr>
          <w:i w:val="1"/>
          <w:rtl w:val="0"/>
        </w:rPr>
        <w:t xml:space="preserve">in cis</w:t>
      </w:r>
      <w:r w:rsidDel="00000000" w:rsidR="00000000" w:rsidRPr="00000000">
        <w:rPr>
          <w:rtl w:val="0"/>
        </w:rPr>
        <w:t xml:space="preserve">, ρυθμίζοντας την έκφραση του γειτονικού γονιδίου </w:t>
      </w:r>
      <w:r w:rsidDel="00000000" w:rsidR="00000000" w:rsidRPr="00000000">
        <w:rPr>
          <w:i w:val="1"/>
          <w:rtl w:val="0"/>
        </w:rPr>
        <w:t xml:space="preserve">IGSF9</w:t>
      </w:r>
      <w:r w:rsidDel="00000000" w:rsidR="00000000" w:rsidRPr="00000000">
        <w:rPr>
          <w:rtl w:val="0"/>
        </w:rPr>
        <w:t xml:space="preserve">, το οποίο κωδικοποιεί μια πρωτεΐνη κυτταρικής προσκόλλησης. Τα δύο μετάγραφα συν-εκφράζονται σε πολλούς ιστούς και είναι κατεσταλμένα σε ασθενείς με CRC. Μηχανιστικά, πειράματα ανοσοκατακρήμνισης του RNA έδειξαν ότι το </w:t>
      </w:r>
      <w:r w:rsidDel="00000000" w:rsidR="00000000" w:rsidRPr="00000000">
        <w:rPr>
          <w:i w:val="1"/>
          <w:rtl w:val="0"/>
        </w:rPr>
        <w:t xml:space="preserve">lnc-IGSF9</w:t>
      </w:r>
      <w:r w:rsidDel="00000000" w:rsidR="00000000" w:rsidRPr="00000000">
        <w:rPr>
          <w:rtl w:val="0"/>
        </w:rPr>
        <w:t xml:space="preserve"> αλληλεπιδρά με την πρωτεΐνη CDX2 η οποία δρα ως κυρίαρχος ρυθμιστής της εντερικής διαφοροποίησης. Η υπερέκφραση της CDX2 επάγει την έκφραση του </w:t>
      </w:r>
      <w:r w:rsidDel="00000000" w:rsidR="00000000" w:rsidRPr="00000000">
        <w:rPr>
          <w:i w:val="1"/>
          <w:rtl w:val="0"/>
        </w:rPr>
        <w:t xml:space="preserve">lnc-IGSF9</w:t>
      </w:r>
      <w:r w:rsidDel="00000000" w:rsidR="00000000" w:rsidRPr="00000000">
        <w:rPr>
          <w:rtl w:val="0"/>
        </w:rPr>
        <w:t xml:space="preserve"> και αυτό με τη σειρά του, αυξάνει τα επίπεδα έκφρασης του γονιδίου </w:t>
      </w:r>
      <w:r w:rsidDel="00000000" w:rsidR="00000000" w:rsidRPr="00000000">
        <w:rPr>
          <w:i w:val="1"/>
          <w:rtl w:val="0"/>
        </w:rPr>
        <w:t xml:space="preserve">IGSF9</w:t>
      </w:r>
      <w:r w:rsidDel="00000000" w:rsidR="00000000" w:rsidRPr="00000000">
        <w:rPr>
          <w:rtl w:val="0"/>
        </w:rPr>
        <w:t xml:space="preserve">. </w:t>
      </w:r>
      <w:r w:rsidDel="00000000" w:rsidR="00000000" w:rsidRPr="00000000">
        <w:rPr>
          <w:b w:val="1"/>
          <w:rtl w:val="0"/>
        </w:rPr>
        <w:t xml:space="preserve">Τα δεδομένα μας υποδεικνύουν ότι ο άξονας CDX2–</w:t>
      </w:r>
      <w:r w:rsidDel="00000000" w:rsidR="00000000" w:rsidRPr="00000000">
        <w:rPr>
          <w:b w:val="1"/>
          <w:i w:val="1"/>
          <w:rtl w:val="0"/>
        </w:rPr>
        <w:t xml:space="preserve">lnc-IGSF9</w:t>
      </w:r>
      <w:r w:rsidDel="00000000" w:rsidR="00000000" w:rsidRPr="00000000">
        <w:rPr>
          <w:b w:val="1"/>
          <w:rtl w:val="0"/>
        </w:rPr>
        <w:t xml:space="preserve">–IGSF9 αποτελεί έναν σημαντικό ρυθμιστικό μηχανισμό της εντερικής διαφοροποίησης και της βιολογίας του CRC.</w:t>
      </w:r>
    </w:p>
    <w:p w:rsidR="00000000" w:rsidDel="00000000" w:rsidP="00000000" w:rsidRDefault="00000000" w:rsidRPr="00000000" w14:paraId="00000005">
      <w:pPr>
        <w:ind w:firstLine="720"/>
        <w:jc w:val="both"/>
        <w:rPr/>
      </w:pPr>
      <w:r w:rsidDel="00000000" w:rsidR="00000000" w:rsidRPr="00000000">
        <w:rPr>
          <w:rtl w:val="0"/>
        </w:rPr>
        <w:t xml:space="preserve">Στο δεύτερο μέρος της διατριβής εξετάσαμε την ύπαρξη lncORFs στα καρκινικά κύτταρα. Ειδικότερα, αξιοποιήσαμε πειράματα ριβοσωμικού προφίλ (Ribo-seq) από κύτταρα HCT116 στα οποία είχε χορηγηθεί Κυκλοεξιμίδιο ή Λακτιμιδομυκίνη. Με τη χρήση των ORF-RATER και Ribosome Release Score (RRS) ταυτοποιήσαμε πολλαπλά lncORFs με δυνητική μεταφραστική δραστηριότητα.</w:t>
      </w:r>
    </w:p>
    <w:p w:rsidR="00000000" w:rsidDel="00000000" w:rsidP="00000000" w:rsidRDefault="00000000" w:rsidRPr="00000000" w14:paraId="00000006">
      <w:pPr>
        <w:ind w:firstLine="720"/>
        <w:jc w:val="both"/>
        <w:rPr/>
      </w:pPr>
      <w:r w:rsidDel="00000000" w:rsidR="00000000" w:rsidRPr="00000000">
        <w:rPr>
          <w:rtl w:val="0"/>
        </w:rPr>
        <w:t xml:space="preserve">Ανακαλύψαμε ότι το lncRNA EPB41L4A-AS1 κωδικοποιεί μια νέα μιτοχονδριακή μικροπρωτεΐνη (EPB-SEP). Παρατηρήσαμε ότι η υπερέκφραση της μειώνει το μεμβρανικό δυναμικό των μιτοχονδρίων και τη κλωνογενετικότητα των καρκινικών κυττάρων, ενώ προάγει τη στάση του κυτταρικού κύκλου στο στάδιο G2. Αντίθετα, η καταστολή του EPB41L4A-AS1 μέσω shRNA ενισχύει τον κυτταρικό πολλαπλασιασμό. Η υπερέκφραση της EPB-SEP οδηγεί στη καταστολή πολλών μιτοχονδριακών πρωτεϊνών, καθώς και την απορρύθμιση μιτωτικών παραγόντων. Πειράματα ανοσοκατακρήμνισης έδειξαν ότι η EPB-SEP αλληλεπιδρά με αρκετές μιτοχονδριακές πρωτεΐνες κρίσιμες για τη μιτοχονδριακή ομοιόσταση. </w:t>
      </w:r>
      <w:r w:rsidDel="00000000" w:rsidR="00000000" w:rsidRPr="00000000">
        <w:rPr>
          <w:b w:val="1"/>
          <w:rtl w:val="0"/>
        </w:rPr>
        <w:t xml:space="preserve">Συνολικά, τα αποτελέσματα αυτά αναδεικνύουν την EPB-SEP ως μια νέα μιτοχονδριακή μικροπρωτεΐνη που κωδικοποιείται από το EPB41L4A-AS1 και έχει ογκοκατασταλτική δράση.</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